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1AF" w:rsidRPr="00AA31AF" w:rsidRDefault="00AA31AF" w:rsidP="00AA31AF">
      <w:pPr>
        <w:jc w:val="center"/>
        <w:rPr>
          <w:b/>
          <w:sz w:val="22"/>
          <w:szCs w:val="22"/>
        </w:rPr>
      </w:pPr>
      <w:r w:rsidRPr="00AA31AF">
        <w:rPr>
          <w:b/>
          <w:szCs w:val="22"/>
        </w:rPr>
        <w:t>PERKAWINAN DALAM BERBAGAI PERSPEKTIF DI INDONESIA</w:t>
      </w:r>
    </w:p>
    <w:p w:rsidR="00AA31AF" w:rsidRDefault="00AA31AF" w:rsidP="00AA31AF">
      <w:pPr>
        <w:jc w:val="center"/>
        <w:rPr>
          <w:b/>
          <w:sz w:val="22"/>
          <w:szCs w:val="22"/>
          <w:lang w:val="id-ID"/>
        </w:rPr>
      </w:pPr>
    </w:p>
    <w:p w:rsidR="00AA31AF" w:rsidRDefault="00AA31AF" w:rsidP="00AA31AF">
      <w:pPr>
        <w:jc w:val="center"/>
        <w:rPr>
          <w:b/>
          <w:sz w:val="22"/>
          <w:szCs w:val="22"/>
          <w:lang w:val="id-ID"/>
        </w:rPr>
      </w:pPr>
      <w:r w:rsidRPr="00AA31AF">
        <w:rPr>
          <w:b/>
          <w:sz w:val="22"/>
          <w:szCs w:val="22"/>
        </w:rPr>
        <w:t>Tetty Marlina T</w:t>
      </w:r>
      <w:r>
        <w:rPr>
          <w:b/>
          <w:sz w:val="22"/>
          <w:szCs w:val="22"/>
        </w:rPr>
        <w:t>arigan</w:t>
      </w:r>
    </w:p>
    <w:p w:rsidR="00045AF3" w:rsidRPr="00045AF3" w:rsidRDefault="00045AF3" w:rsidP="00AA31AF">
      <w:pPr>
        <w:jc w:val="center"/>
        <w:rPr>
          <w:b/>
          <w:sz w:val="22"/>
          <w:szCs w:val="22"/>
          <w:lang w:val="id-ID"/>
        </w:rPr>
      </w:pPr>
      <w:r>
        <w:rPr>
          <w:b/>
          <w:sz w:val="22"/>
          <w:szCs w:val="22"/>
          <w:lang w:val="id-ID"/>
        </w:rPr>
        <w:t>NIP/NIDN. 19770127 200710 2 002</w:t>
      </w:r>
    </w:p>
    <w:p w:rsidR="00AA31AF" w:rsidRDefault="00AA31AF" w:rsidP="00AA31AF">
      <w:pPr>
        <w:jc w:val="center"/>
        <w:rPr>
          <w:b/>
          <w:sz w:val="22"/>
          <w:szCs w:val="22"/>
          <w:lang w:val="id-ID"/>
        </w:rPr>
      </w:pPr>
      <w:r w:rsidRPr="00AA31AF">
        <w:rPr>
          <w:b/>
          <w:sz w:val="22"/>
          <w:szCs w:val="22"/>
        </w:rPr>
        <w:t>Dosen Fakultas Syariah dan Hukum UIN</w:t>
      </w:r>
      <w:r>
        <w:rPr>
          <w:b/>
          <w:sz w:val="22"/>
          <w:szCs w:val="22"/>
        </w:rPr>
        <w:t xml:space="preserve"> S</w:t>
      </w:r>
      <w:r>
        <w:rPr>
          <w:b/>
          <w:sz w:val="22"/>
          <w:szCs w:val="22"/>
          <w:lang w:val="id-ID"/>
        </w:rPr>
        <w:t>umatera Utara</w:t>
      </w:r>
    </w:p>
    <w:p w:rsidR="00AA31AF" w:rsidRPr="00AA31AF" w:rsidRDefault="00AA31AF" w:rsidP="00AA31AF">
      <w:pPr>
        <w:jc w:val="center"/>
        <w:rPr>
          <w:b/>
          <w:sz w:val="22"/>
          <w:szCs w:val="22"/>
          <w:lang w:val="id-ID"/>
        </w:rPr>
      </w:pPr>
    </w:p>
    <w:p w:rsidR="00AA31AF" w:rsidRDefault="00AA31AF" w:rsidP="00AA31AF">
      <w:pPr>
        <w:pStyle w:val="Heading1"/>
        <w:spacing w:before="0" w:after="0" w:line="240" w:lineRule="auto"/>
        <w:ind w:left="0"/>
        <w:jc w:val="both"/>
        <w:rPr>
          <w:rFonts w:ascii="Times New Roman" w:hAnsi="Times New Roman"/>
          <w:sz w:val="22"/>
          <w:szCs w:val="22"/>
        </w:rPr>
      </w:pPr>
    </w:p>
    <w:p w:rsidR="00265F99" w:rsidRDefault="00265F99" w:rsidP="00265F99">
      <w:pPr>
        <w:ind w:left="426" w:right="566"/>
        <w:jc w:val="both"/>
        <w:rPr>
          <w:sz w:val="20"/>
          <w:szCs w:val="20"/>
          <w:lang w:val="id-ID"/>
        </w:rPr>
      </w:pPr>
      <w:r w:rsidRPr="00265F99">
        <w:rPr>
          <w:rStyle w:val="hps"/>
          <w:b/>
          <w:sz w:val="20"/>
          <w:szCs w:val="20"/>
        </w:rPr>
        <w:t>Abstract</w:t>
      </w:r>
      <w:r w:rsidRPr="00265F99">
        <w:rPr>
          <w:b/>
          <w:sz w:val="20"/>
          <w:szCs w:val="20"/>
        </w:rPr>
        <w:t>:</w:t>
      </w:r>
      <w:r w:rsidRPr="00265F99">
        <w:rPr>
          <w:sz w:val="20"/>
          <w:szCs w:val="20"/>
        </w:rPr>
        <w:t xml:space="preserve"> </w:t>
      </w:r>
      <w:r w:rsidRPr="00265F99">
        <w:rPr>
          <w:rStyle w:val="hps"/>
          <w:sz w:val="20"/>
          <w:szCs w:val="20"/>
        </w:rPr>
        <w:t>From some</w:t>
      </w:r>
      <w:r w:rsidRPr="00265F99">
        <w:rPr>
          <w:sz w:val="20"/>
          <w:szCs w:val="20"/>
        </w:rPr>
        <w:t xml:space="preserve"> </w:t>
      </w:r>
      <w:r w:rsidRPr="00265F99">
        <w:rPr>
          <w:rStyle w:val="hps"/>
          <w:sz w:val="20"/>
          <w:szCs w:val="20"/>
        </w:rPr>
        <w:t>perspectives</w:t>
      </w:r>
      <w:r w:rsidRPr="00265F99">
        <w:rPr>
          <w:sz w:val="20"/>
          <w:szCs w:val="20"/>
        </w:rPr>
        <w:t xml:space="preserve"> </w:t>
      </w:r>
      <w:r w:rsidRPr="00265F99">
        <w:rPr>
          <w:rStyle w:val="hps"/>
          <w:sz w:val="20"/>
          <w:szCs w:val="20"/>
        </w:rPr>
        <w:t>that exist</w:t>
      </w:r>
      <w:r w:rsidRPr="00265F99">
        <w:rPr>
          <w:sz w:val="20"/>
          <w:szCs w:val="20"/>
        </w:rPr>
        <w:t xml:space="preserve"> </w:t>
      </w:r>
      <w:r w:rsidRPr="00265F99">
        <w:rPr>
          <w:rStyle w:val="hps"/>
          <w:sz w:val="20"/>
          <w:szCs w:val="20"/>
        </w:rPr>
        <w:t>describes</w:t>
      </w:r>
      <w:r w:rsidRPr="00265F99">
        <w:rPr>
          <w:sz w:val="20"/>
          <w:szCs w:val="20"/>
        </w:rPr>
        <w:t xml:space="preserve"> </w:t>
      </w:r>
      <w:r w:rsidRPr="00265F99">
        <w:rPr>
          <w:rStyle w:val="hps"/>
          <w:sz w:val="20"/>
          <w:szCs w:val="20"/>
        </w:rPr>
        <w:t>marriage</w:t>
      </w:r>
      <w:r w:rsidRPr="00265F99">
        <w:rPr>
          <w:sz w:val="20"/>
          <w:szCs w:val="20"/>
        </w:rPr>
        <w:t xml:space="preserve"> </w:t>
      </w:r>
      <w:r w:rsidRPr="00265F99">
        <w:rPr>
          <w:rStyle w:val="hps"/>
          <w:sz w:val="20"/>
          <w:szCs w:val="20"/>
        </w:rPr>
        <w:t>as</w:t>
      </w:r>
      <w:r w:rsidRPr="00265F99">
        <w:rPr>
          <w:sz w:val="20"/>
          <w:szCs w:val="20"/>
        </w:rPr>
        <w:t xml:space="preserve"> </w:t>
      </w:r>
      <w:r w:rsidRPr="00265F99">
        <w:rPr>
          <w:rStyle w:val="hps"/>
          <w:sz w:val="20"/>
          <w:szCs w:val="20"/>
        </w:rPr>
        <w:t>a bond</w:t>
      </w:r>
      <w:r w:rsidRPr="00265F99">
        <w:rPr>
          <w:sz w:val="20"/>
          <w:szCs w:val="20"/>
        </w:rPr>
        <w:t xml:space="preserve"> </w:t>
      </w:r>
      <w:r w:rsidRPr="00265F99">
        <w:rPr>
          <w:rStyle w:val="hps"/>
          <w:sz w:val="20"/>
          <w:szCs w:val="20"/>
        </w:rPr>
        <w:t>between a man</w:t>
      </w:r>
      <w:r w:rsidRPr="00265F99">
        <w:rPr>
          <w:sz w:val="20"/>
          <w:szCs w:val="20"/>
        </w:rPr>
        <w:t xml:space="preserve"> </w:t>
      </w:r>
      <w:r w:rsidRPr="00265F99">
        <w:rPr>
          <w:rStyle w:val="hps"/>
          <w:sz w:val="20"/>
          <w:szCs w:val="20"/>
        </w:rPr>
        <w:t>physically and mentally</w:t>
      </w:r>
      <w:r w:rsidRPr="00265F99">
        <w:rPr>
          <w:sz w:val="20"/>
          <w:szCs w:val="20"/>
        </w:rPr>
        <w:t xml:space="preserve"> </w:t>
      </w:r>
      <w:r w:rsidRPr="00265F99">
        <w:rPr>
          <w:rStyle w:val="hps"/>
          <w:sz w:val="20"/>
          <w:szCs w:val="20"/>
        </w:rPr>
        <w:t>with</w:t>
      </w:r>
      <w:r w:rsidRPr="00265F99">
        <w:rPr>
          <w:sz w:val="20"/>
          <w:szCs w:val="20"/>
        </w:rPr>
        <w:t xml:space="preserve"> </w:t>
      </w:r>
      <w:r w:rsidRPr="00265F99">
        <w:rPr>
          <w:rStyle w:val="hps"/>
          <w:sz w:val="20"/>
          <w:szCs w:val="20"/>
        </w:rPr>
        <w:t>a woman</w:t>
      </w:r>
      <w:r w:rsidRPr="00265F99">
        <w:rPr>
          <w:sz w:val="20"/>
          <w:szCs w:val="20"/>
        </w:rPr>
        <w:t xml:space="preserve"> </w:t>
      </w:r>
      <w:r w:rsidRPr="00265F99">
        <w:rPr>
          <w:rStyle w:val="hps"/>
          <w:sz w:val="20"/>
          <w:szCs w:val="20"/>
        </w:rPr>
        <w:t>who is not</w:t>
      </w:r>
      <w:r w:rsidRPr="00265F99">
        <w:rPr>
          <w:sz w:val="20"/>
          <w:szCs w:val="20"/>
        </w:rPr>
        <w:t xml:space="preserve"> </w:t>
      </w:r>
      <w:r w:rsidRPr="00265F99">
        <w:rPr>
          <w:rStyle w:val="hps"/>
          <w:sz w:val="20"/>
          <w:szCs w:val="20"/>
        </w:rPr>
        <w:t>unrelated</w:t>
      </w:r>
      <w:r w:rsidRPr="00265F99">
        <w:rPr>
          <w:sz w:val="20"/>
          <w:szCs w:val="20"/>
        </w:rPr>
        <w:t xml:space="preserve"> </w:t>
      </w:r>
      <w:r w:rsidRPr="00265F99">
        <w:rPr>
          <w:rStyle w:val="hps"/>
          <w:sz w:val="20"/>
          <w:szCs w:val="20"/>
        </w:rPr>
        <w:t>to</w:t>
      </w:r>
      <w:r w:rsidRPr="00265F99">
        <w:rPr>
          <w:sz w:val="20"/>
          <w:szCs w:val="20"/>
        </w:rPr>
        <w:t xml:space="preserve"> </w:t>
      </w:r>
      <w:r w:rsidRPr="00265F99">
        <w:rPr>
          <w:rStyle w:val="hps"/>
          <w:sz w:val="20"/>
          <w:szCs w:val="20"/>
        </w:rPr>
        <w:t>build</w:t>
      </w:r>
      <w:r w:rsidRPr="00265F99">
        <w:rPr>
          <w:sz w:val="20"/>
          <w:szCs w:val="20"/>
        </w:rPr>
        <w:t xml:space="preserve"> </w:t>
      </w:r>
      <w:r w:rsidRPr="00265F99">
        <w:rPr>
          <w:rStyle w:val="hps"/>
          <w:sz w:val="20"/>
          <w:szCs w:val="20"/>
        </w:rPr>
        <w:t>a</w:t>
      </w:r>
      <w:r w:rsidRPr="00265F99">
        <w:rPr>
          <w:sz w:val="20"/>
          <w:szCs w:val="20"/>
        </w:rPr>
        <w:t xml:space="preserve"> </w:t>
      </w:r>
      <w:r w:rsidRPr="00265F99">
        <w:rPr>
          <w:rStyle w:val="hps"/>
          <w:sz w:val="20"/>
          <w:szCs w:val="20"/>
        </w:rPr>
        <w:t>household</w:t>
      </w:r>
      <w:r w:rsidRPr="00265F99">
        <w:rPr>
          <w:sz w:val="20"/>
          <w:szCs w:val="20"/>
        </w:rPr>
        <w:t xml:space="preserve"> </w:t>
      </w:r>
      <w:r w:rsidRPr="00265F99">
        <w:rPr>
          <w:rStyle w:val="hps"/>
          <w:sz w:val="20"/>
          <w:szCs w:val="20"/>
        </w:rPr>
        <w:t>eternal</w:t>
      </w:r>
      <w:r w:rsidRPr="00265F99">
        <w:rPr>
          <w:sz w:val="20"/>
          <w:szCs w:val="20"/>
        </w:rPr>
        <w:t xml:space="preserve"> </w:t>
      </w:r>
      <w:r w:rsidRPr="00265F99">
        <w:rPr>
          <w:rStyle w:val="hps"/>
          <w:sz w:val="20"/>
          <w:szCs w:val="20"/>
        </w:rPr>
        <w:t>and</w:t>
      </w:r>
      <w:r w:rsidRPr="00265F99">
        <w:rPr>
          <w:sz w:val="20"/>
          <w:szCs w:val="20"/>
        </w:rPr>
        <w:t xml:space="preserve"> </w:t>
      </w:r>
      <w:r w:rsidRPr="00265F99">
        <w:rPr>
          <w:rStyle w:val="hps"/>
          <w:sz w:val="20"/>
          <w:szCs w:val="20"/>
        </w:rPr>
        <w:t>happy</w:t>
      </w:r>
      <w:r w:rsidRPr="00265F99">
        <w:rPr>
          <w:sz w:val="20"/>
          <w:szCs w:val="20"/>
        </w:rPr>
        <w:t xml:space="preserve"> </w:t>
      </w:r>
      <w:r w:rsidRPr="00265F99">
        <w:rPr>
          <w:rStyle w:val="hps"/>
          <w:sz w:val="20"/>
          <w:szCs w:val="20"/>
        </w:rPr>
        <w:t>by</w:t>
      </w:r>
      <w:r w:rsidRPr="00265F99">
        <w:rPr>
          <w:sz w:val="20"/>
          <w:szCs w:val="20"/>
        </w:rPr>
        <w:t xml:space="preserve"> </w:t>
      </w:r>
      <w:r w:rsidRPr="00265F99">
        <w:rPr>
          <w:rStyle w:val="hps"/>
          <w:sz w:val="20"/>
          <w:szCs w:val="20"/>
        </w:rPr>
        <w:t>shari'ah</w:t>
      </w:r>
      <w:r w:rsidRPr="00265F99">
        <w:rPr>
          <w:sz w:val="20"/>
          <w:szCs w:val="20"/>
        </w:rPr>
        <w:t xml:space="preserve"> </w:t>
      </w:r>
      <w:r w:rsidRPr="00265F99">
        <w:rPr>
          <w:rStyle w:val="hps"/>
          <w:sz w:val="20"/>
          <w:szCs w:val="20"/>
        </w:rPr>
        <w:t>religion.</w:t>
      </w:r>
      <w:r w:rsidRPr="00265F99">
        <w:rPr>
          <w:sz w:val="20"/>
          <w:szCs w:val="20"/>
        </w:rPr>
        <w:t xml:space="preserve"> </w:t>
      </w:r>
      <w:r w:rsidRPr="00265F99">
        <w:rPr>
          <w:rStyle w:val="hps"/>
          <w:sz w:val="20"/>
          <w:szCs w:val="20"/>
        </w:rPr>
        <w:t>In Islam</w:t>
      </w:r>
      <w:r w:rsidRPr="00265F99">
        <w:rPr>
          <w:sz w:val="20"/>
          <w:szCs w:val="20"/>
        </w:rPr>
        <w:t xml:space="preserve"> </w:t>
      </w:r>
      <w:r w:rsidRPr="00265F99">
        <w:rPr>
          <w:rStyle w:val="hps"/>
          <w:sz w:val="20"/>
          <w:szCs w:val="20"/>
        </w:rPr>
        <w:t>marriage</w:t>
      </w:r>
      <w:r w:rsidRPr="00265F99">
        <w:rPr>
          <w:sz w:val="20"/>
          <w:szCs w:val="20"/>
        </w:rPr>
        <w:t xml:space="preserve"> </w:t>
      </w:r>
      <w:r w:rsidRPr="00265F99">
        <w:rPr>
          <w:rStyle w:val="hps"/>
          <w:sz w:val="20"/>
          <w:szCs w:val="20"/>
        </w:rPr>
        <w:t>is considered valid</w:t>
      </w:r>
      <w:r w:rsidRPr="00265F99">
        <w:rPr>
          <w:sz w:val="20"/>
          <w:szCs w:val="20"/>
        </w:rPr>
        <w:t xml:space="preserve"> </w:t>
      </w:r>
      <w:r w:rsidRPr="00265F99">
        <w:rPr>
          <w:rStyle w:val="hps"/>
          <w:sz w:val="20"/>
          <w:szCs w:val="20"/>
        </w:rPr>
        <w:t>if</w:t>
      </w:r>
      <w:r w:rsidRPr="00265F99">
        <w:rPr>
          <w:sz w:val="20"/>
          <w:szCs w:val="20"/>
        </w:rPr>
        <w:t xml:space="preserve"> </w:t>
      </w:r>
      <w:r w:rsidRPr="00265F99">
        <w:rPr>
          <w:rStyle w:val="hps"/>
          <w:sz w:val="20"/>
          <w:szCs w:val="20"/>
        </w:rPr>
        <w:t>the marriage</w:t>
      </w:r>
      <w:r w:rsidRPr="00265F99">
        <w:rPr>
          <w:sz w:val="20"/>
          <w:szCs w:val="20"/>
        </w:rPr>
        <w:t xml:space="preserve"> </w:t>
      </w:r>
      <w:r w:rsidRPr="00265F99">
        <w:rPr>
          <w:rStyle w:val="hps"/>
          <w:sz w:val="20"/>
          <w:szCs w:val="20"/>
        </w:rPr>
        <w:t>had been</w:t>
      </w:r>
      <w:r w:rsidRPr="00265F99">
        <w:rPr>
          <w:sz w:val="20"/>
          <w:szCs w:val="20"/>
        </w:rPr>
        <w:t xml:space="preserve"> </w:t>
      </w:r>
      <w:r w:rsidRPr="00265F99">
        <w:rPr>
          <w:rStyle w:val="hps"/>
          <w:sz w:val="20"/>
          <w:szCs w:val="20"/>
        </w:rPr>
        <w:t>carried out</w:t>
      </w:r>
      <w:r w:rsidRPr="00265F99">
        <w:rPr>
          <w:sz w:val="20"/>
          <w:szCs w:val="20"/>
        </w:rPr>
        <w:t xml:space="preserve"> </w:t>
      </w:r>
      <w:r w:rsidRPr="00265F99">
        <w:rPr>
          <w:rStyle w:val="hps"/>
          <w:sz w:val="20"/>
          <w:szCs w:val="20"/>
        </w:rPr>
        <w:t>by</w:t>
      </w:r>
      <w:r w:rsidRPr="00265F99">
        <w:rPr>
          <w:sz w:val="20"/>
          <w:szCs w:val="20"/>
        </w:rPr>
        <w:t xml:space="preserve"> </w:t>
      </w:r>
      <w:r w:rsidRPr="00265F99">
        <w:rPr>
          <w:rStyle w:val="hps"/>
          <w:sz w:val="20"/>
          <w:szCs w:val="20"/>
        </w:rPr>
        <w:t>qualified</w:t>
      </w:r>
      <w:r w:rsidRPr="00265F99">
        <w:rPr>
          <w:sz w:val="20"/>
          <w:szCs w:val="20"/>
        </w:rPr>
        <w:t xml:space="preserve"> </w:t>
      </w:r>
      <w:r w:rsidRPr="00265F99">
        <w:rPr>
          <w:rStyle w:val="hps"/>
          <w:sz w:val="20"/>
          <w:szCs w:val="20"/>
        </w:rPr>
        <w:t>and</w:t>
      </w:r>
      <w:r w:rsidRPr="00265F99">
        <w:rPr>
          <w:sz w:val="20"/>
          <w:szCs w:val="20"/>
        </w:rPr>
        <w:t xml:space="preserve"> </w:t>
      </w:r>
      <w:r w:rsidRPr="00265F99">
        <w:rPr>
          <w:rStyle w:val="hps"/>
          <w:sz w:val="20"/>
          <w:szCs w:val="20"/>
        </w:rPr>
        <w:t>rukunnya</w:t>
      </w:r>
      <w:r w:rsidRPr="00265F99">
        <w:rPr>
          <w:sz w:val="20"/>
          <w:szCs w:val="20"/>
        </w:rPr>
        <w:t xml:space="preserve"> </w:t>
      </w:r>
      <w:r w:rsidRPr="00265F99">
        <w:rPr>
          <w:rStyle w:val="hps"/>
          <w:sz w:val="20"/>
          <w:szCs w:val="20"/>
        </w:rPr>
        <w:t>in accordance</w:t>
      </w:r>
      <w:r w:rsidRPr="00265F99">
        <w:rPr>
          <w:sz w:val="20"/>
          <w:szCs w:val="20"/>
        </w:rPr>
        <w:t xml:space="preserve"> </w:t>
      </w:r>
      <w:r w:rsidRPr="00265F99">
        <w:rPr>
          <w:rStyle w:val="hps"/>
          <w:sz w:val="20"/>
          <w:szCs w:val="20"/>
        </w:rPr>
        <w:t>with the provisions</w:t>
      </w:r>
      <w:r w:rsidRPr="00265F99">
        <w:rPr>
          <w:sz w:val="20"/>
          <w:szCs w:val="20"/>
        </w:rPr>
        <w:t xml:space="preserve"> </w:t>
      </w:r>
      <w:r w:rsidRPr="00265F99">
        <w:rPr>
          <w:rStyle w:val="hps"/>
          <w:sz w:val="20"/>
          <w:szCs w:val="20"/>
        </w:rPr>
        <w:t>that exist</w:t>
      </w:r>
      <w:r w:rsidRPr="00265F99">
        <w:rPr>
          <w:sz w:val="20"/>
          <w:szCs w:val="20"/>
        </w:rPr>
        <w:t xml:space="preserve"> </w:t>
      </w:r>
      <w:r w:rsidRPr="00265F99">
        <w:rPr>
          <w:rStyle w:val="hps"/>
          <w:sz w:val="20"/>
          <w:szCs w:val="20"/>
        </w:rPr>
        <w:t>in Islamic law</w:t>
      </w:r>
      <w:r w:rsidRPr="00265F99">
        <w:rPr>
          <w:sz w:val="20"/>
          <w:szCs w:val="20"/>
        </w:rPr>
        <w:t>.</w:t>
      </w:r>
    </w:p>
    <w:p w:rsidR="00265F99" w:rsidRPr="00265F99" w:rsidRDefault="00265F99" w:rsidP="00265F99">
      <w:pPr>
        <w:ind w:left="426" w:right="566"/>
        <w:jc w:val="both"/>
        <w:rPr>
          <w:sz w:val="20"/>
          <w:szCs w:val="20"/>
          <w:lang w:val="id-ID"/>
        </w:rPr>
      </w:pPr>
    </w:p>
    <w:p w:rsidR="00AA31AF" w:rsidRPr="00265F99" w:rsidRDefault="00AA31AF" w:rsidP="00AA31AF">
      <w:pPr>
        <w:pStyle w:val="Heading1"/>
        <w:spacing w:before="0" w:after="0" w:line="240" w:lineRule="auto"/>
        <w:ind w:left="426" w:right="566"/>
        <w:jc w:val="both"/>
        <w:rPr>
          <w:rFonts w:ascii="Times New Roman" w:hAnsi="Times New Roman"/>
          <w:sz w:val="22"/>
          <w:szCs w:val="22"/>
        </w:rPr>
      </w:pPr>
      <w:r w:rsidRPr="00265F99">
        <w:rPr>
          <w:rFonts w:ascii="Times New Roman" w:hAnsi="Times New Roman"/>
          <w:sz w:val="20"/>
          <w:szCs w:val="22"/>
        </w:rPr>
        <w:t xml:space="preserve">Kata Kunci : </w:t>
      </w:r>
      <w:r w:rsidRPr="00265F99">
        <w:rPr>
          <w:rFonts w:ascii="Times New Roman" w:hAnsi="Times New Roman"/>
          <w:b w:val="0"/>
          <w:sz w:val="20"/>
          <w:szCs w:val="22"/>
        </w:rPr>
        <w:t>Perkawinan, Perspektif, Indonesia</w:t>
      </w:r>
    </w:p>
    <w:p w:rsidR="00AA31AF" w:rsidRDefault="00AA31AF" w:rsidP="00265F99">
      <w:pPr>
        <w:spacing w:line="360" w:lineRule="auto"/>
        <w:rPr>
          <w:lang w:val="id-ID"/>
        </w:rPr>
      </w:pPr>
    </w:p>
    <w:p w:rsidR="00AA31AF" w:rsidRPr="00AA31AF" w:rsidRDefault="00AA31AF" w:rsidP="00E31CFC">
      <w:pPr>
        <w:pStyle w:val="ListParagraph"/>
        <w:spacing w:after="0" w:line="360" w:lineRule="auto"/>
        <w:ind w:left="0"/>
        <w:jc w:val="both"/>
        <w:rPr>
          <w:rFonts w:ascii="Times New Roman" w:hAnsi="Times New Roman"/>
          <w:b/>
          <w:lang w:val="en-US"/>
        </w:rPr>
      </w:pPr>
      <w:r w:rsidRPr="00AA31AF">
        <w:rPr>
          <w:rFonts w:ascii="Times New Roman" w:hAnsi="Times New Roman"/>
          <w:b/>
        </w:rPr>
        <w:t>Pendahuluan</w:t>
      </w:r>
    </w:p>
    <w:p w:rsidR="00AA31AF" w:rsidRPr="00AA31AF" w:rsidRDefault="00AA31AF" w:rsidP="00E31CFC">
      <w:pPr>
        <w:pStyle w:val="BodyText2"/>
        <w:spacing w:before="0" w:after="0" w:line="360" w:lineRule="auto"/>
        <w:jc w:val="both"/>
        <w:rPr>
          <w:rFonts w:cs="Times New Roman"/>
          <w:sz w:val="22"/>
          <w:szCs w:val="22"/>
          <w:lang w:val="id-ID" w:eastAsia="en-GB"/>
        </w:rPr>
      </w:pPr>
      <w:r w:rsidRPr="00AA31AF">
        <w:rPr>
          <w:rFonts w:cs="Times New Roman"/>
          <w:sz w:val="22"/>
          <w:szCs w:val="22"/>
          <w:lang w:eastAsia="en-GB"/>
        </w:rPr>
        <w:t>Syari’at Islam senantiasa menganjurkan umatnya untuk melaksanakan perkawinan</w:t>
      </w:r>
      <w:r w:rsidRPr="00AA31AF">
        <w:rPr>
          <w:rFonts w:cs="Times New Roman"/>
          <w:sz w:val="22"/>
          <w:szCs w:val="22"/>
          <w:lang w:val="id-ID" w:eastAsia="en-GB"/>
        </w:rPr>
        <w:t xml:space="preserve"> </w:t>
      </w:r>
      <w:r w:rsidRPr="00AA31AF">
        <w:rPr>
          <w:rFonts w:cs="Times New Roman"/>
          <w:sz w:val="22"/>
          <w:szCs w:val="22"/>
          <w:lang w:eastAsia="en-GB"/>
        </w:rPr>
        <w:t>karena perkawinan merupakan sunnatullah</w:t>
      </w:r>
      <w:r w:rsidRPr="00AA31AF">
        <w:rPr>
          <w:rFonts w:cs="Times New Roman"/>
          <w:sz w:val="22"/>
          <w:szCs w:val="22"/>
          <w:lang w:val="id-ID" w:eastAsia="en-GB"/>
        </w:rPr>
        <w:t>. P</w:t>
      </w:r>
      <w:r w:rsidRPr="00AA31AF">
        <w:rPr>
          <w:rFonts w:cs="Times New Roman"/>
          <w:sz w:val="22"/>
          <w:szCs w:val="22"/>
          <w:lang w:eastAsia="en-GB"/>
        </w:rPr>
        <w:t>erkawinan merupakan jalan yang paling mulia bagi laki-laki maupun perempuan untuk menyalurkan kebutuhan biologisnya dan untuk melanjutkan keturunannya. Melaksanakan perkawinan merupakan suatu bukti ketaatan kepada Allah</w:t>
      </w:r>
      <w:r w:rsidRPr="00AA31AF">
        <w:rPr>
          <w:rFonts w:cs="Times New Roman"/>
          <w:sz w:val="22"/>
          <w:szCs w:val="22"/>
          <w:lang w:val="id-ID" w:eastAsia="en-GB"/>
        </w:rPr>
        <w:t xml:space="preserve"> SWT </w:t>
      </w:r>
      <w:r w:rsidRPr="00AA31AF">
        <w:rPr>
          <w:rFonts w:cs="Times New Roman"/>
          <w:sz w:val="22"/>
          <w:szCs w:val="22"/>
          <w:lang w:eastAsia="en-GB"/>
        </w:rPr>
        <w:t>dan Rasul-Nya, karena banyak ayat Allah dan hadis Nabi yang menganjurkan setiap umatnya untuk melakukan perkawinan.  Hadis Nabi SAW yang menganjurkan untuk menikah:</w:t>
      </w:r>
    </w:p>
    <w:p w:rsidR="00FD3676" w:rsidRPr="00B02CEF" w:rsidRDefault="00AA31AF" w:rsidP="00E31CFC">
      <w:pPr>
        <w:spacing w:line="360" w:lineRule="auto"/>
        <w:jc w:val="both"/>
        <w:rPr>
          <w:lang w:val="id-ID"/>
        </w:rPr>
      </w:pPr>
      <w:r w:rsidRPr="00AA31AF">
        <w:rPr>
          <w:sz w:val="22"/>
          <w:szCs w:val="22"/>
          <w:lang w:eastAsia="en-GB"/>
        </w:rPr>
        <w:t xml:space="preserve"> </w:t>
      </w:r>
      <w:r w:rsidRPr="00B02CEF">
        <w:rPr>
          <w:rtl/>
        </w:rPr>
        <w:t>عن عبد الله بن مسعود رضى الله عنه قال قال لنا رسول الله صلى الله عليه وسلم : (يا معشر الشباب من استطاع منكم الباءة فليتزوج, فإنه</w:t>
      </w:r>
    </w:p>
    <w:p w:rsidR="00AA31AF" w:rsidRPr="00B02CEF" w:rsidRDefault="00AA31AF" w:rsidP="00E31CFC">
      <w:pPr>
        <w:pStyle w:val="BodyText2"/>
        <w:spacing w:before="0" w:after="0" w:line="360" w:lineRule="auto"/>
        <w:jc w:val="both"/>
        <w:rPr>
          <w:rFonts w:cs="Times New Roman"/>
          <w:szCs w:val="24"/>
          <w:lang w:val="id-ID"/>
        </w:rPr>
      </w:pPr>
      <w:r w:rsidRPr="00B02CEF">
        <w:rPr>
          <w:rFonts w:cs="Times New Roman"/>
          <w:szCs w:val="24"/>
          <w:rtl/>
        </w:rPr>
        <w:t>أغض للبصر واحصن للفرج, ومن لم يستطع فليصمه, فإن له وجاء) متفق عليه.</w:t>
      </w:r>
      <w:r w:rsidRPr="00B02CEF">
        <w:rPr>
          <w:rStyle w:val="FootnoteReference"/>
          <w:szCs w:val="24"/>
          <w:rtl/>
        </w:rPr>
        <w:footnoteReference w:id="2"/>
      </w:r>
    </w:p>
    <w:p w:rsidR="00AA31AF" w:rsidRPr="00AA31AF" w:rsidRDefault="00AA31AF" w:rsidP="00E31CFC">
      <w:pPr>
        <w:autoSpaceDE w:val="0"/>
        <w:autoSpaceDN w:val="0"/>
        <w:adjustRightInd w:val="0"/>
        <w:spacing w:line="360" w:lineRule="auto"/>
        <w:ind w:left="990" w:hanging="990"/>
        <w:jc w:val="both"/>
        <w:rPr>
          <w:sz w:val="22"/>
          <w:szCs w:val="22"/>
        </w:rPr>
      </w:pPr>
      <w:r w:rsidRPr="00AA31AF">
        <w:rPr>
          <w:iCs/>
          <w:sz w:val="22"/>
          <w:szCs w:val="22"/>
        </w:rPr>
        <w:t>Artinya:</w:t>
      </w:r>
      <w:r w:rsidRPr="00AA31AF">
        <w:rPr>
          <w:i/>
          <w:iCs/>
          <w:sz w:val="22"/>
          <w:szCs w:val="22"/>
        </w:rPr>
        <w:t xml:space="preserve"> </w:t>
      </w:r>
      <w:r w:rsidRPr="00AA31AF">
        <w:rPr>
          <w:iCs/>
          <w:sz w:val="22"/>
          <w:szCs w:val="22"/>
        </w:rPr>
        <w:t>“</w:t>
      </w:r>
      <w:r w:rsidRPr="00AA31AF">
        <w:rPr>
          <w:sz w:val="22"/>
          <w:szCs w:val="22"/>
        </w:rPr>
        <w:t>Dari Abdullah bin Mas'ud r.a ia berkata: Rasulullah SAW bersabda kepada kamu: Wahai para pemuda! barang siapa di antara kamu sekalian yang mampu kawin, kawinlah. Maka sesungguhnya kawin itu lebih memejamkan mata (menundukkan pandangan) dan lebih memelihara kemaluan, barang siapa yang belum mampu kawin (sedangkan sudah menginginkannya) berpuasalah, karena puasa itu menahan nafsu baginya." (HR Bukhari dan Muslim).</w:t>
      </w:r>
    </w:p>
    <w:p w:rsidR="00AA31AF" w:rsidRDefault="00AA31AF" w:rsidP="00E31CFC">
      <w:pPr>
        <w:pStyle w:val="BodyText2"/>
        <w:spacing w:before="0" w:after="0" w:line="360" w:lineRule="auto"/>
        <w:jc w:val="both"/>
        <w:rPr>
          <w:rFonts w:cs="Times New Roman"/>
          <w:sz w:val="22"/>
          <w:szCs w:val="22"/>
          <w:lang w:val="id-ID" w:eastAsia="en-GB"/>
        </w:rPr>
      </w:pPr>
      <w:r w:rsidRPr="00AA31AF">
        <w:rPr>
          <w:rFonts w:cs="Times New Roman"/>
          <w:sz w:val="22"/>
          <w:szCs w:val="22"/>
          <w:lang w:eastAsia="en-GB"/>
        </w:rPr>
        <w:t xml:space="preserve">Sekalipun demikian seseorang tidaklah bebas saja untuk menentukan pilihannya, karena di dalam syari’at Islam terdapat ketentuan-ketentuan tentang siapa-siapa yang haram </w:t>
      </w:r>
      <w:r w:rsidRPr="00AA31AF">
        <w:rPr>
          <w:rFonts w:cs="Times New Roman"/>
          <w:sz w:val="22"/>
          <w:szCs w:val="22"/>
          <w:lang w:val="id-ID" w:eastAsia="en-GB"/>
        </w:rPr>
        <w:t xml:space="preserve">untuk </w:t>
      </w:r>
      <w:r w:rsidRPr="00AA31AF">
        <w:rPr>
          <w:rFonts w:cs="Times New Roman"/>
          <w:sz w:val="22"/>
          <w:szCs w:val="22"/>
          <w:lang w:eastAsia="en-GB"/>
        </w:rPr>
        <w:t>dinikah</w:t>
      </w:r>
      <w:r w:rsidRPr="00AA31AF">
        <w:rPr>
          <w:rFonts w:cs="Times New Roman"/>
          <w:sz w:val="22"/>
          <w:szCs w:val="22"/>
          <w:lang w:val="id-ID" w:eastAsia="en-GB"/>
        </w:rPr>
        <w:t>kan</w:t>
      </w:r>
      <w:r w:rsidRPr="00AA31AF">
        <w:rPr>
          <w:rFonts w:cs="Times New Roman"/>
          <w:sz w:val="22"/>
          <w:szCs w:val="22"/>
          <w:lang w:eastAsia="en-GB"/>
        </w:rPr>
        <w:t>.</w:t>
      </w:r>
    </w:p>
    <w:p w:rsidR="00AA31AF" w:rsidRDefault="00AA31AF" w:rsidP="00E31CFC">
      <w:pPr>
        <w:pStyle w:val="BodyText2"/>
        <w:spacing w:before="0" w:after="0" w:line="360" w:lineRule="auto"/>
        <w:jc w:val="both"/>
        <w:rPr>
          <w:rFonts w:cs="Times New Roman"/>
          <w:sz w:val="22"/>
          <w:szCs w:val="22"/>
          <w:lang w:val="id-ID" w:eastAsia="en-GB"/>
        </w:rPr>
      </w:pPr>
    </w:p>
    <w:p w:rsidR="00E31CFC" w:rsidRDefault="00E31CFC" w:rsidP="00E31CFC">
      <w:pPr>
        <w:pStyle w:val="BodyText2"/>
        <w:spacing w:before="0" w:after="0" w:line="360" w:lineRule="auto"/>
        <w:jc w:val="both"/>
        <w:rPr>
          <w:rFonts w:cs="Times New Roman"/>
          <w:sz w:val="22"/>
          <w:szCs w:val="22"/>
          <w:lang w:val="id-ID" w:eastAsia="en-GB"/>
        </w:rPr>
      </w:pPr>
    </w:p>
    <w:p w:rsidR="00E31CFC" w:rsidRPr="00AA31AF" w:rsidRDefault="00E31CFC" w:rsidP="00E31CFC">
      <w:pPr>
        <w:pStyle w:val="BodyText2"/>
        <w:spacing w:before="0" w:after="0" w:line="360" w:lineRule="auto"/>
        <w:jc w:val="both"/>
        <w:rPr>
          <w:rFonts w:cs="Times New Roman"/>
          <w:sz w:val="22"/>
          <w:szCs w:val="22"/>
          <w:lang w:val="id-ID" w:eastAsia="en-GB"/>
        </w:rPr>
      </w:pPr>
    </w:p>
    <w:p w:rsidR="00AA31AF" w:rsidRPr="00AA31AF" w:rsidRDefault="00AA31AF" w:rsidP="00E31CFC">
      <w:pPr>
        <w:autoSpaceDE w:val="0"/>
        <w:autoSpaceDN w:val="0"/>
        <w:adjustRightInd w:val="0"/>
        <w:spacing w:line="360" w:lineRule="auto"/>
        <w:jc w:val="both"/>
        <w:rPr>
          <w:b/>
          <w:bCs/>
          <w:sz w:val="22"/>
          <w:szCs w:val="22"/>
        </w:rPr>
      </w:pPr>
      <w:r w:rsidRPr="00AA31AF">
        <w:rPr>
          <w:b/>
          <w:bCs/>
          <w:sz w:val="22"/>
          <w:szCs w:val="22"/>
        </w:rPr>
        <w:t>Pengertian Perkawinan Dalam Berbagai Perspektif</w:t>
      </w:r>
    </w:p>
    <w:p w:rsidR="00AA31AF" w:rsidRPr="00AA31AF" w:rsidRDefault="00AA31AF" w:rsidP="00E31CFC">
      <w:pPr>
        <w:autoSpaceDE w:val="0"/>
        <w:autoSpaceDN w:val="0"/>
        <w:adjustRightInd w:val="0"/>
        <w:spacing w:line="360" w:lineRule="auto"/>
        <w:ind w:firstLine="720"/>
        <w:jc w:val="both"/>
        <w:rPr>
          <w:sz w:val="22"/>
          <w:szCs w:val="22"/>
        </w:rPr>
      </w:pPr>
      <w:r w:rsidRPr="00AA31AF">
        <w:rPr>
          <w:sz w:val="22"/>
          <w:szCs w:val="22"/>
        </w:rPr>
        <w:t>Kata kawin berasal dari bahasa Arab</w:t>
      </w:r>
      <w:r w:rsidRPr="00B02CEF">
        <w:t xml:space="preserve"> </w:t>
      </w:r>
      <w:r w:rsidRPr="00B02CEF">
        <w:rPr>
          <w:rtl/>
        </w:rPr>
        <w:t>نكاحا</w:t>
      </w:r>
      <w:r w:rsidRPr="00B02CEF">
        <w:rPr>
          <w:szCs w:val="22"/>
        </w:rPr>
        <w:t xml:space="preserve"> </w:t>
      </w:r>
      <w:r w:rsidRPr="00AA31AF">
        <w:rPr>
          <w:sz w:val="22"/>
          <w:szCs w:val="22"/>
        </w:rPr>
        <w:t xml:space="preserve">yang merupakan bentuk </w:t>
      </w:r>
      <w:r w:rsidRPr="00AA31AF">
        <w:rPr>
          <w:i/>
          <w:iCs/>
          <w:sz w:val="22"/>
          <w:szCs w:val="22"/>
        </w:rPr>
        <w:t xml:space="preserve">masdar </w:t>
      </w:r>
      <w:r w:rsidRPr="00AA31AF">
        <w:rPr>
          <w:sz w:val="22"/>
          <w:szCs w:val="22"/>
        </w:rPr>
        <w:t xml:space="preserve">dari </w:t>
      </w:r>
      <w:r w:rsidRPr="00AA31AF">
        <w:rPr>
          <w:i/>
          <w:iCs/>
          <w:sz w:val="22"/>
          <w:szCs w:val="22"/>
        </w:rPr>
        <w:t xml:space="preserve">fi’il madhi </w:t>
      </w:r>
      <w:r w:rsidRPr="00B02CEF">
        <w:rPr>
          <w:rtl/>
        </w:rPr>
        <w:t>نكح</w:t>
      </w:r>
      <w:r w:rsidRPr="00B02CEF">
        <w:t xml:space="preserve"> </w:t>
      </w:r>
      <w:r w:rsidRPr="00AA31AF">
        <w:rPr>
          <w:sz w:val="22"/>
          <w:szCs w:val="22"/>
        </w:rPr>
        <w:t>yang diterjemahkan ke dalam bahasa Indonesia berarti kawin atau menikah.</w:t>
      </w:r>
      <w:r w:rsidRPr="00AA31AF">
        <w:rPr>
          <w:rStyle w:val="FootnoteReference"/>
          <w:sz w:val="22"/>
          <w:szCs w:val="22"/>
        </w:rPr>
        <w:footnoteReference w:id="3"/>
      </w:r>
    </w:p>
    <w:p w:rsidR="00AA31AF" w:rsidRDefault="00AA31AF" w:rsidP="00E31CFC">
      <w:pPr>
        <w:autoSpaceDE w:val="0"/>
        <w:autoSpaceDN w:val="0"/>
        <w:adjustRightInd w:val="0"/>
        <w:spacing w:line="360" w:lineRule="auto"/>
        <w:ind w:firstLine="720"/>
        <w:jc w:val="both"/>
        <w:rPr>
          <w:sz w:val="22"/>
          <w:szCs w:val="22"/>
          <w:lang w:val="id-ID"/>
        </w:rPr>
      </w:pPr>
      <w:r w:rsidRPr="00AA31AF">
        <w:rPr>
          <w:sz w:val="22"/>
          <w:szCs w:val="22"/>
        </w:rPr>
        <w:t xml:space="preserve">Menurut Abdurrahman al-Jaziri dalam kitabnya </w:t>
      </w:r>
      <w:r w:rsidRPr="00AA31AF">
        <w:rPr>
          <w:i/>
          <w:iCs/>
          <w:sz w:val="22"/>
          <w:szCs w:val="22"/>
        </w:rPr>
        <w:t xml:space="preserve">al-Fiqh ‘ala al- Mazahibil Arba’ah </w:t>
      </w:r>
      <w:r w:rsidRPr="00AA31AF">
        <w:rPr>
          <w:sz w:val="22"/>
          <w:szCs w:val="22"/>
        </w:rPr>
        <w:t xml:space="preserve">menyatakan makna kawin secara </w:t>
      </w:r>
      <w:r w:rsidRPr="00AA31AF">
        <w:rPr>
          <w:iCs/>
          <w:sz w:val="22"/>
          <w:szCs w:val="22"/>
        </w:rPr>
        <w:t>etimologi</w:t>
      </w:r>
      <w:r w:rsidRPr="00AA31AF">
        <w:rPr>
          <w:sz w:val="22"/>
          <w:szCs w:val="22"/>
        </w:rPr>
        <w:t xml:space="preserve"> ada tiga macam yaitu:</w:t>
      </w:r>
    </w:p>
    <w:p w:rsidR="00AA31AF" w:rsidRPr="00B02CEF" w:rsidRDefault="00AA31AF" w:rsidP="00E31CFC">
      <w:pPr>
        <w:bidi/>
        <w:spacing w:line="360" w:lineRule="auto"/>
        <w:ind w:left="-1"/>
        <w:jc w:val="both"/>
        <w:rPr>
          <w:lang w:bidi="ar-DZ"/>
        </w:rPr>
      </w:pPr>
      <w:r w:rsidRPr="00B02CEF">
        <w:rPr>
          <w:rtl/>
          <w:lang w:bidi="ar-DZ"/>
        </w:rPr>
        <w:t>الاول : الوطء والضم, الثاني : حقيقة فى العقد مجاز فى الوطء, ثالثها : انه مشترك لفظ بين العقد والوطء</w:t>
      </w:r>
      <w:r w:rsidRPr="00B02CEF">
        <w:rPr>
          <w:rStyle w:val="FootnoteReference"/>
          <w:rtl/>
          <w:lang w:bidi="ar-DZ"/>
        </w:rPr>
        <w:footnoteReference w:id="4"/>
      </w:r>
    </w:p>
    <w:p w:rsidR="00AA31AF" w:rsidRPr="00AA31AF" w:rsidRDefault="00AA31AF" w:rsidP="00E31CFC">
      <w:pPr>
        <w:spacing w:line="360" w:lineRule="auto"/>
        <w:ind w:left="993" w:hanging="993"/>
        <w:jc w:val="both"/>
        <w:rPr>
          <w:sz w:val="22"/>
          <w:szCs w:val="22"/>
          <w:lang w:bidi="ar-DZ"/>
        </w:rPr>
      </w:pPr>
      <w:r w:rsidRPr="00AA31AF">
        <w:rPr>
          <w:sz w:val="22"/>
          <w:szCs w:val="22"/>
          <w:lang w:bidi="ar-DZ"/>
        </w:rPr>
        <w:t>Artinya: “Yang  pertama bersetubuh dan berkumpul, kedua bahwa nikah secara haqiqat pada akad dan secara majazi pada bersetubuh, ketiga bahwasanya sama lapaz di antara akad dan wati’.”</w:t>
      </w:r>
    </w:p>
    <w:p w:rsidR="00AA31AF" w:rsidRPr="00AA31AF" w:rsidRDefault="00AA31AF" w:rsidP="00E31CFC">
      <w:pPr>
        <w:autoSpaceDE w:val="0"/>
        <w:autoSpaceDN w:val="0"/>
        <w:adjustRightInd w:val="0"/>
        <w:spacing w:line="360" w:lineRule="auto"/>
        <w:jc w:val="both"/>
        <w:rPr>
          <w:sz w:val="22"/>
          <w:szCs w:val="22"/>
        </w:rPr>
      </w:pPr>
      <w:r w:rsidRPr="00AA31AF">
        <w:rPr>
          <w:sz w:val="22"/>
          <w:szCs w:val="22"/>
        </w:rPr>
        <w:t>Makna kawin menurut bahasa adalah:</w:t>
      </w:r>
    </w:p>
    <w:p w:rsidR="00AA31AF" w:rsidRPr="00B02CEF" w:rsidRDefault="00AA31AF" w:rsidP="00E31CFC">
      <w:pPr>
        <w:autoSpaceDE w:val="0"/>
        <w:autoSpaceDN w:val="0"/>
        <w:bidi/>
        <w:adjustRightInd w:val="0"/>
        <w:spacing w:line="360" w:lineRule="auto"/>
        <w:ind w:left="-1"/>
        <w:jc w:val="both"/>
        <w:rPr>
          <w:iCs/>
          <w:sz w:val="22"/>
          <w:szCs w:val="22"/>
          <w:lang w:bidi="ar-EG"/>
        </w:rPr>
      </w:pPr>
      <w:r w:rsidRPr="00B02CEF">
        <w:rPr>
          <w:rtl/>
        </w:rPr>
        <w:t>وهو الوطء والضم</w:t>
      </w:r>
      <w:r w:rsidRPr="00B02CEF">
        <w:rPr>
          <w:rStyle w:val="FootnoteReference"/>
          <w:sz w:val="22"/>
          <w:szCs w:val="22"/>
          <w:rtl/>
        </w:rPr>
        <w:footnoteReference w:id="5"/>
      </w:r>
    </w:p>
    <w:p w:rsidR="00AA31AF" w:rsidRPr="00AA31AF" w:rsidRDefault="00AA31AF" w:rsidP="00E31CFC">
      <w:pPr>
        <w:autoSpaceDE w:val="0"/>
        <w:autoSpaceDN w:val="0"/>
        <w:adjustRightInd w:val="0"/>
        <w:spacing w:line="360" w:lineRule="auto"/>
        <w:jc w:val="both"/>
        <w:rPr>
          <w:iCs/>
          <w:sz w:val="22"/>
          <w:szCs w:val="22"/>
          <w:lang w:bidi="ar-EG"/>
        </w:rPr>
      </w:pPr>
      <w:r w:rsidRPr="00AA31AF">
        <w:rPr>
          <w:sz w:val="22"/>
          <w:szCs w:val="22"/>
        </w:rPr>
        <w:t>Artinya: “Bersenggama atau bercampur”.</w:t>
      </w:r>
    </w:p>
    <w:p w:rsidR="00AA31AF" w:rsidRPr="00AA31AF" w:rsidRDefault="00AA31AF" w:rsidP="00E31CFC">
      <w:pPr>
        <w:autoSpaceDE w:val="0"/>
        <w:autoSpaceDN w:val="0"/>
        <w:adjustRightInd w:val="0"/>
        <w:spacing w:line="360" w:lineRule="auto"/>
        <w:jc w:val="both"/>
        <w:rPr>
          <w:sz w:val="22"/>
          <w:szCs w:val="22"/>
        </w:rPr>
      </w:pPr>
      <w:r w:rsidRPr="00AA31AF">
        <w:rPr>
          <w:sz w:val="22"/>
          <w:szCs w:val="22"/>
        </w:rPr>
        <w:t xml:space="preserve">Menurut </w:t>
      </w:r>
      <w:r w:rsidRPr="00AA31AF">
        <w:rPr>
          <w:iCs/>
          <w:sz w:val="22"/>
          <w:szCs w:val="22"/>
        </w:rPr>
        <w:t>terminologi</w:t>
      </w:r>
      <w:r w:rsidRPr="00AA31AF">
        <w:rPr>
          <w:sz w:val="22"/>
          <w:szCs w:val="22"/>
        </w:rPr>
        <w:t xml:space="preserve"> golongan Syafi’iyyah mendefinisikan kawin sebagai:</w:t>
      </w:r>
    </w:p>
    <w:p w:rsidR="00AA31AF" w:rsidRPr="00AA31AF" w:rsidRDefault="00AA31AF" w:rsidP="00E31CFC">
      <w:pPr>
        <w:bidi/>
        <w:spacing w:line="360" w:lineRule="auto"/>
        <w:ind w:left="-1"/>
        <w:jc w:val="both"/>
        <w:rPr>
          <w:sz w:val="22"/>
          <w:szCs w:val="22"/>
          <w:lang w:bidi="ar-DZ"/>
        </w:rPr>
      </w:pPr>
      <w:r w:rsidRPr="00B02CEF">
        <w:rPr>
          <w:rtl/>
          <w:lang w:bidi="ar-DZ"/>
        </w:rPr>
        <w:t>عقد يتضمن إباحة وطء بلفظ إنكاح أو تزويج</w:t>
      </w:r>
      <w:r w:rsidRPr="00AA31AF">
        <w:rPr>
          <w:rStyle w:val="FootnoteReference"/>
          <w:sz w:val="22"/>
          <w:szCs w:val="22"/>
          <w:rtl/>
          <w:lang w:bidi="ar-DZ"/>
        </w:rPr>
        <w:footnoteReference w:id="6"/>
      </w:r>
    </w:p>
    <w:p w:rsidR="00AA31AF" w:rsidRPr="00AA31AF" w:rsidRDefault="00AA31AF" w:rsidP="00E31CFC">
      <w:pPr>
        <w:autoSpaceDE w:val="0"/>
        <w:autoSpaceDN w:val="0"/>
        <w:adjustRightInd w:val="0"/>
        <w:spacing w:line="360" w:lineRule="auto"/>
        <w:ind w:left="993" w:hanging="993"/>
        <w:jc w:val="both"/>
        <w:rPr>
          <w:sz w:val="22"/>
          <w:szCs w:val="22"/>
        </w:rPr>
      </w:pPr>
      <w:r w:rsidRPr="00AA31AF">
        <w:rPr>
          <w:sz w:val="22"/>
          <w:szCs w:val="22"/>
          <w:lang w:bidi="ar-DZ"/>
        </w:rPr>
        <w:t>Artinya: “Akad yang menjamin dibolehkannya wati’ dengan lafaz nikah atau   tazwij.”</w:t>
      </w:r>
    </w:p>
    <w:p w:rsidR="00AA31AF" w:rsidRDefault="00AA31AF" w:rsidP="00E31CFC">
      <w:pPr>
        <w:autoSpaceDE w:val="0"/>
        <w:autoSpaceDN w:val="0"/>
        <w:adjustRightInd w:val="0"/>
        <w:spacing w:line="360" w:lineRule="auto"/>
        <w:jc w:val="both"/>
        <w:rPr>
          <w:sz w:val="22"/>
          <w:szCs w:val="22"/>
          <w:lang w:val="id-ID"/>
        </w:rPr>
      </w:pPr>
      <w:r w:rsidRPr="00AA31AF">
        <w:rPr>
          <w:sz w:val="22"/>
          <w:szCs w:val="22"/>
        </w:rPr>
        <w:t>Golongan Malikiyah mendefinisikan kawin sebagai:</w:t>
      </w:r>
    </w:p>
    <w:p w:rsidR="00AA31AF" w:rsidRPr="00AA31AF" w:rsidRDefault="00AA31AF" w:rsidP="00E31CFC">
      <w:pPr>
        <w:autoSpaceDE w:val="0"/>
        <w:autoSpaceDN w:val="0"/>
        <w:bidi/>
        <w:adjustRightInd w:val="0"/>
        <w:spacing w:line="360" w:lineRule="auto"/>
        <w:jc w:val="both"/>
        <w:rPr>
          <w:sz w:val="22"/>
          <w:szCs w:val="22"/>
        </w:rPr>
      </w:pPr>
      <w:r w:rsidRPr="00B02CEF">
        <w:rPr>
          <w:rtl/>
        </w:rPr>
        <w:t>النكاح بأنه عقد على مجرد متعة التلذذ بأدمية غير موجب قيمتها</w:t>
      </w:r>
      <w:r w:rsidRPr="00AA31AF">
        <w:rPr>
          <w:rStyle w:val="FootnoteReference"/>
          <w:sz w:val="22"/>
          <w:szCs w:val="22"/>
          <w:rtl/>
        </w:rPr>
        <w:footnoteReference w:id="7"/>
      </w:r>
    </w:p>
    <w:p w:rsidR="00AA31AF" w:rsidRPr="00AA31AF" w:rsidRDefault="00AA31AF" w:rsidP="00E31CFC">
      <w:pPr>
        <w:autoSpaceDE w:val="0"/>
        <w:autoSpaceDN w:val="0"/>
        <w:adjustRightInd w:val="0"/>
        <w:spacing w:line="360" w:lineRule="auto"/>
        <w:ind w:left="993" w:hanging="993"/>
        <w:jc w:val="both"/>
        <w:rPr>
          <w:i/>
          <w:iCs/>
          <w:sz w:val="22"/>
          <w:szCs w:val="22"/>
        </w:rPr>
      </w:pPr>
      <w:r w:rsidRPr="00AA31AF">
        <w:rPr>
          <w:iCs/>
          <w:sz w:val="22"/>
          <w:szCs w:val="22"/>
        </w:rPr>
        <w:t>Artinya:</w:t>
      </w:r>
      <w:r w:rsidRPr="00AA31AF">
        <w:rPr>
          <w:i/>
          <w:iCs/>
          <w:sz w:val="22"/>
          <w:szCs w:val="22"/>
        </w:rPr>
        <w:t xml:space="preserve"> </w:t>
      </w:r>
      <w:r w:rsidRPr="00AA31AF">
        <w:rPr>
          <w:iCs/>
          <w:sz w:val="22"/>
          <w:szCs w:val="22"/>
        </w:rPr>
        <w:t>“</w:t>
      </w:r>
      <w:r w:rsidRPr="00AA31AF">
        <w:rPr>
          <w:sz w:val="22"/>
          <w:szCs w:val="22"/>
        </w:rPr>
        <w:t>Nikah adalah akad semata-mata untuk kenikmatan dengan seorang perempuan tanpa adanya kewajiban harga.”</w:t>
      </w:r>
    </w:p>
    <w:p w:rsidR="00AA31AF" w:rsidRDefault="00AA31AF" w:rsidP="00E31CFC">
      <w:pPr>
        <w:spacing w:line="360" w:lineRule="auto"/>
        <w:jc w:val="both"/>
        <w:rPr>
          <w:sz w:val="22"/>
          <w:szCs w:val="22"/>
          <w:lang w:val="id-ID" w:bidi="ar-DZ"/>
        </w:rPr>
      </w:pPr>
      <w:r w:rsidRPr="00AA31AF">
        <w:rPr>
          <w:sz w:val="22"/>
          <w:szCs w:val="22"/>
        </w:rPr>
        <w:t xml:space="preserve">Sedangkan </w:t>
      </w:r>
      <w:r w:rsidRPr="00AA31AF">
        <w:rPr>
          <w:sz w:val="22"/>
          <w:szCs w:val="22"/>
          <w:lang w:bidi="ar-DZ"/>
        </w:rPr>
        <w:t>nikah menurut Ibnu Qudamah :</w:t>
      </w:r>
    </w:p>
    <w:p w:rsidR="00AA31AF" w:rsidRPr="00AA31AF" w:rsidRDefault="00AA31AF" w:rsidP="00E31CFC">
      <w:pPr>
        <w:tabs>
          <w:tab w:val="left" w:pos="-1"/>
        </w:tabs>
        <w:bidi/>
        <w:spacing w:line="360" w:lineRule="auto"/>
        <w:ind w:left="-1"/>
        <w:jc w:val="both"/>
        <w:rPr>
          <w:sz w:val="22"/>
          <w:szCs w:val="22"/>
          <w:lang w:bidi="ar-DZ"/>
        </w:rPr>
      </w:pPr>
      <w:r w:rsidRPr="00B02CEF">
        <w:rPr>
          <w:rtl/>
          <w:lang w:bidi="ar-DZ"/>
        </w:rPr>
        <w:t>النكاح في الشرع هو عقد التزويج فعند اطلاق بلفظه ينصرف إليه ما يصرفه عند دليل</w:t>
      </w:r>
      <w:r w:rsidRPr="00AA31AF">
        <w:rPr>
          <w:rStyle w:val="FootnoteReference"/>
          <w:sz w:val="22"/>
          <w:szCs w:val="22"/>
          <w:rtl/>
          <w:lang w:bidi="ar-DZ"/>
        </w:rPr>
        <w:footnoteReference w:id="8"/>
      </w:r>
    </w:p>
    <w:p w:rsidR="00AA31AF" w:rsidRPr="00AA31AF" w:rsidRDefault="00AA31AF" w:rsidP="00E31CFC">
      <w:pPr>
        <w:spacing w:line="360" w:lineRule="auto"/>
        <w:jc w:val="both"/>
        <w:rPr>
          <w:sz w:val="22"/>
          <w:szCs w:val="22"/>
          <w:lang w:val="id-ID" w:bidi="ar-DZ"/>
        </w:rPr>
      </w:pPr>
      <w:r w:rsidRPr="00AA31AF">
        <w:rPr>
          <w:sz w:val="22"/>
          <w:szCs w:val="22"/>
          <w:lang w:bidi="ar-DZ"/>
        </w:rPr>
        <w:t>Artinya: “Nikah menurut syara’ adalah akad perkawinan, semata-mata lafaznya dipalingkan kepadanya, selama tidak ada dalil yang memalingkannya.”</w:t>
      </w:r>
    </w:p>
    <w:p w:rsidR="00AA31AF" w:rsidRPr="00AA31AF" w:rsidRDefault="00AA31AF" w:rsidP="00E31CFC">
      <w:pPr>
        <w:autoSpaceDE w:val="0"/>
        <w:autoSpaceDN w:val="0"/>
        <w:adjustRightInd w:val="0"/>
        <w:spacing w:line="360" w:lineRule="auto"/>
        <w:ind w:firstLine="720"/>
        <w:jc w:val="both"/>
        <w:rPr>
          <w:i/>
          <w:iCs/>
          <w:sz w:val="22"/>
          <w:szCs w:val="22"/>
        </w:rPr>
      </w:pPr>
      <w:r w:rsidRPr="00AA31AF">
        <w:rPr>
          <w:sz w:val="22"/>
          <w:szCs w:val="22"/>
        </w:rPr>
        <w:lastRenderedPageBreak/>
        <w:t>Pengertian kawin tersebut di atas hanya melihat dari satu segi saja yaitu kebolehan hukum dalam hubungan kelamin antara seorang laki-laki dan seorang wanita yang semula dilarang menjadi diperbolehkan.</w:t>
      </w:r>
    </w:p>
    <w:p w:rsidR="00AA31AF" w:rsidRPr="00AA31AF" w:rsidRDefault="00AA31AF" w:rsidP="00E31CFC">
      <w:pPr>
        <w:autoSpaceDE w:val="0"/>
        <w:autoSpaceDN w:val="0"/>
        <w:adjustRightInd w:val="0"/>
        <w:spacing w:line="360" w:lineRule="auto"/>
        <w:ind w:firstLine="720"/>
        <w:jc w:val="both"/>
        <w:rPr>
          <w:i/>
          <w:iCs/>
          <w:sz w:val="22"/>
          <w:szCs w:val="22"/>
        </w:rPr>
      </w:pPr>
      <w:r w:rsidRPr="00AA31AF">
        <w:rPr>
          <w:sz w:val="22"/>
          <w:szCs w:val="22"/>
          <w:lang w:val="fr-FR"/>
        </w:rPr>
        <w:t>Sedangkan pengertian kawin menurut</w:t>
      </w:r>
      <w:r w:rsidRPr="00AA31AF">
        <w:rPr>
          <w:sz w:val="22"/>
          <w:szCs w:val="22"/>
        </w:rPr>
        <w:t xml:space="preserve"> </w:t>
      </w:r>
      <w:r w:rsidRPr="00AA31AF">
        <w:rPr>
          <w:sz w:val="22"/>
          <w:szCs w:val="22"/>
          <w:lang w:val="fr-FR"/>
        </w:rPr>
        <w:t xml:space="preserve"> pandangan dari beberapa ahli, antara lain:</w:t>
      </w:r>
    </w:p>
    <w:p w:rsidR="00AA31AF" w:rsidRPr="00AA31AF" w:rsidRDefault="00AA31AF" w:rsidP="00E31CFC">
      <w:pPr>
        <w:pStyle w:val="ListParagraph"/>
        <w:numPr>
          <w:ilvl w:val="0"/>
          <w:numId w:val="1"/>
        </w:numPr>
        <w:autoSpaceDE w:val="0"/>
        <w:autoSpaceDN w:val="0"/>
        <w:adjustRightInd w:val="0"/>
        <w:spacing w:after="0" w:line="360" w:lineRule="auto"/>
        <w:ind w:left="426" w:hanging="426"/>
        <w:jc w:val="both"/>
        <w:rPr>
          <w:rFonts w:ascii="Times New Roman" w:hAnsi="Times New Roman"/>
          <w:lang w:val="fr-FR"/>
        </w:rPr>
      </w:pPr>
      <w:r w:rsidRPr="00AA31AF">
        <w:rPr>
          <w:rFonts w:ascii="Times New Roman" w:hAnsi="Times New Roman"/>
          <w:lang w:val="fr-FR"/>
        </w:rPr>
        <w:t xml:space="preserve">Menurut Najmudin Amin al-Kurdi, memberikan pengertian kawin sebagai berikut, yaitu akad yang menjamin bolehnya bersetubuh dengan lafaz kawin atau </w:t>
      </w:r>
      <w:r w:rsidRPr="00AA31AF">
        <w:rPr>
          <w:rFonts w:ascii="Times New Roman" w:hAnsi="Times New Roman"/>
          <w:i/>
          <w:iCs/>
          <w:lang w:val="fr-FR"/>
        </w:rPr>
        <w:t xml:space="preserve">tazwij </w:t>
      </w:r>
      <w:r w:rsidRPr="00AA31AF">
        <w:rPr>
          <w:rFonts w:ascii="Times New Roman" w:hAnsi="Times New Roman"/>
          <w:lang w:val="fr-FR"/>
        </w:rPr>
        <w:t>atau terjemahnya.</w:t>
      </w:r>
      <w:r w:rsidRPr="00AA31AF">
        <w:rPr>
          <w:rStyle w:val="FootnoteReference"/>
        </w:rPr>
        <w:footnoteReference w:id="9"/>
      </w:r>
    </w:p>
    <w:p w:rsidR="00AA31AF" w:rsidRPr="00AA31AF" w:rsidRDefault="00AA31AF" w:rsidP="00E31CFC">
      <w:pPr>
        <w:pStyle w:val="ListParagraph"/>
        <w:numPr>
          <w:ilvl w:val="0"/>
          <w:numId w:val="1"/>
        </w:numPr>
        <w:autoSpaceDE w:val="0"/>
        <w:autoSpaceDN w:val="0"/>
        <w:adjustRightInd w:val="0"/>
        <w:spacing w:after="0" w:line="360" w:lineRule="auto"/>
        <w:ind w:left="426" w:hanging="426"/>
        <w:jc w:val="both"/>
        <w:rPr>
          <w:rFonts w:ascii="Times New Roman" w:hAnsi="Times New Roman"/>
          <w:lang w:val="fr-FR"/>
        </w:rPr>
      </w:pPr>
      <w:r w:rsidRPr="00AA31AF">
        <w:rPr>
          <w:rFonts w:ascii="Times New Roman" w:hAnsi="Times New Roman"/>
          <w:lang w:val="fr-FR"/>
        </w:rPr>
        <w:t>Taqiyuddin Abi Bakar memberikan pengertian kawin sebagai berikut, yaitu akad yang terkenal yang mengandung kebenaran rukun dan syarat.</w:t>
      </w:r>
      <w:r w:rsidRPr="00AA31AF">
        <w:rPr>
          <w:rStyle w:val="FootnoteReference"/>
        </w:rPr>
        <w:footnoteReference w:id="10"/>
      </w:r>
    </w:p>
    <w:p w:rsidR="00AA31AF" w:rsidRPr="00AA31AF" w:rsidRDefault="00AA31AF" w:rsidP="00E31CFC">
      <w:pPr>
        <w:pStyle w:val="ListParagraph"/>
        <w:numPr>
          <w:ilvl w:val="0"/>
          <w:numId w:val="1"/>
        </w:numPr>
        <w:autoSpaceDE w:val="0"/>
        <w:autoSpaceDN w:val="0"/>
        <w:adjustRightInd w:val="0"/>
        <w:spacing w:after="0" w:line="360" w:lineRule="auto"/>
        <w:ind w:left="426" w:hanging="426"/>
        <w:jc w:val="both"/>
        <w:rPr>
          <w:rFonts w:ascii="Times New Roman" w:hAnsi="Times New Roman"/>
          <w:lang w:val="fr-FR"/>
        </w:rPr>
      </w:pPr>
      <w:r w:rsidRPr="00AA31AF">
        <w:rPr>
          <w:rFonts w:ascii="Times New Roman" w:hAnsi="Times New Roman"/>
          <w:lang w:val="fr-FR"/>
        </w:rPr>
        <w:t>Menurut Sayuti Thalib, perkawinan ialah suatu perjanjian yang suci, kuat dan kokoh untuk hidup bersama secara sah antara seorang laki-laki dengan seorang perempuan membentuk keluarga yang kekal, santun menyantuni, kasih mengasihi, tent</w:t>
      </w:r>
      <w:r w:rsidRPr="00AA31AF">
        <w:rPr>
          <w:rFonts w:ascii="Times New Roman" w:hAnsi="Times New Roman"/>
        </w:rPr>
        <w:t>e</w:t>
      </w:r>
      <w:r w:rsidRPr="00AA31AF">
        <w:rPr>
          <w:rFonts w:ascii="Times New Roman" w:hAnsi="Times New Roman"/>
          <w:lang w:val="fr-FR"/>
        </w:rPr>
        <w:t>ram dan bahagia.</w:t>
      </w:r>
      <w:r w:rsidRPr="00AA31AF">
        <w:rPr>
          <w:rStyle w:val="FootnoteReference"/>
        </w:rPr>
        <w:footnoteReference w:id="11"/>
      </w:r>
    </w:p>
    <w:p w:rsidR="00AA31AF" w:rsidRPr="00AA31AF" w:rsidRDefault="00AA31AF" w:rsidP="00E31CFC">
      <w:pPr>
        <w:pStyle w:val="ListParagraph"/>
        <w:autoSpaceDE w:val="0"/>
        <w:autoSpaceDN w:val="0"/>
        <w:adjustRightInd w:val="0"/>
        <w:spacing w:after="0" w:line="360" w:lineRule="auto"/>
        <w:ind w:left="0" w:firstLine="709"/>
        <w:jc w:val="both"/>
        <w:rPr>
          <w:rFonts w:ascii="Times New Roman" w:hAnsi="Times New Roman"/>
        </w:rPr>
      </w:pPr>
      <w:r w:rsidRPr="00AA31AF">
        <w:rPr>
          <w:rFonts w:ascii="Times New Roman" w:hAnsi="Times New Roman"/>
          <w:lang w:val="fr-FR"/>
        </w:rPr>
        <w:t xml:space="preserve">Dalam Kompilasi Hukum Islam (KHI) disebutkan bahwa perkawinan menurut hukum Islam adalah akad yang sangat kuat </w:t>
      </w:r>
      <w:r w:rsidRPr="00AA31AF">
        <w:rPr>
          <w:rFonts w:ascii="Times New Roman" w:hAnsi="Times New Roman"/>
          <w:i/>
          <w:iCs/>
          <w:lang w:val="fr-FR"/>
        </w:rPr>
        <w:t xml:space="preserve">(mitsaqan ghalizhan) </w:t>
      </w:r>
      <w:r w:rsidRPr="00AA31AF">
        <w:rPr>
          <w:rFonts w:ascii="Times New Roman" w:hAnsi="Times New Roman"/>
          <w:lang w:val="fr-FR"/>
        </w:rPr>
        <w:t>untuk mentaati perintah Allah</w:t>
      </w:r>
      <w:r w:rsidRPr="00AA31AF">
        <w:rPr>
          <w:rFonts w:ascii="Times New Roman" w:hAnsi="Times New Roman"/>
        </w:rPr>
        <w:t xml:space="preserve"> SWT</w:t>
      </w:r>
      <w:r w:rsidRPr="00AA31AF">
        <w:rPr>
          <w:rFonts w:ascii="Times New Roman" w:hAnsi="Times New Roman"/>
          <w:lang w:val="fr-FR"/>
        </w:rPr>
        <w:t xml:space="preserve"> dan melaksanakannya merupakan ibadah.</w:t>
      </w:r>
      <w:r w:rsidRPr="00AA31AF">
        <w:rPr>
          <w:rStyle w:val="FootnoteReference"/>
        </w:rPr>
        <w:footnoteReference w:id="12"/>
      </w:r>
      <w:r w:rsidRPr="00AA31AF">
        <w:rPr>
          <w:rFonts w:ascii="Times New Roman" w:hAnsi="Times New Roman"/>
          <w:lang w:val="fr-FR"/>
        </w:rPr>
        <w:t xml:space="preserve"> </w:t>
      </w:r>
    </w:p>
    <w:p w:rsidR="00AA31AF" w:rsidRPr="00AA31AF" w:rsidRDefault="00AA31AF" w:rsidP="00E31CFC">
      <w:pPr>
        <w:spacing w:line="360" w:lineRule="auto"/>
        <w:jc w:val="both"/>
        <w:rPr>
          <w:sz w:val="22"/>
          <w:szCs w:val="22"/>
          <w:lang w:val="id-ID"/>
        </w:rPr>
      </w:pPr>
      <w:r w:rsidRPr="00AA31AF">
        <w:rPr>
          <w:sz w:val="22"/>
          <w:szCs w:val="22"/>
          <w:lang w:val="fr-FR"/>
        </w:rPr>
        <w:t xml:space="preserve">Hal tersebut sesuai dengan Undang-Undang </w:t>
      </w:r>
      <w:r w:rsidRPr="00AA31AF">
        <w:rPr>
          <w:sz w:val="22"/>
          <w:szCs w:val="22"/>
        </w:rPr>
        <w:t>Nomor 1 Tahun 1974 tentang P</w:t>
      </w:r>
      <w:r w:rsidRPr="00AA31AF">
        <w:rPr>
          <w:sz w:val="22"/>
          <w:szCs w:val="22"/>
          <w:lang w:val="fr-FR"/>
        </w:rPr>
        <w:t>erkawinan ialah ikatan lahir batin antara seorang pria dengan seorang wanita sebagai suami istri dengan tujuan membentuk keluarga (rumah tangga) yang bahagia dan kekal berdasarkan Ketuhanan Yang Maha Esa.</w:t>
      </w:r>
      <w:r w:rsidRPr="00AA31AF">
        <w:rPr>
          <w:rStyle w:val="FootnoteReference"/>
          <w:sz w:val="22"/>
          <w:szCs w:val="22"/>
        </w:rPr>
        <w:footnoteReference w:id="13"/>
      </w:r>
    </w:p>
    <w:p w:rsidR="00A25E80" w:rsidRDefault="00A25E80" w:rsidP="00E31CFC">
      <w:pPr>
        <w:pStyle w:val="ListParagraph"/>
        <w:autoSpaceDE w:val="0"/>
        <w:autoSpaceDN w:val="0"/>
        <w:adjustRightInd w:val="0"/>
        <w:spacing w:after="0" w:line="360" w:lineRule="auto"/>
        <w:ind w:left="0"/>
        <w:jc w:val="both"/>
        <w:rPr>
          <w:rFonts w:ascii="Times New Roman" w:hAnsi="Times New Roman"/>
          <w:b/>
          <w:bCs/>
        </w:rPr>
      </w:pPr>
    </w:p>
    <w:p w:rsidR="00AA31AF" w:rsidRPr="00AA31AF" w:rsidRDefault="00AA31AF" w:rsidP="00E31CFC">
      <w:pPr>
        <w:pStyle w:val="ListParagraph"/>
        <w:autoSpaceDE w:val="0"/>
        <w:autoSpaceDN w:val="0"/>
        <w:adjustRightInd w:val="0"/>
        <w:spacing w:after="0" w:line="360" w:lineRule="auto"/>
        <w:ind w:left="0"/>
        <w:jc w:val="both"/>
        <w:rPr>
          <w:rFonts w:ascii="Times New Roman" w:hAnsi="Times New Roman"/>
          <w:b/>
          <w:bCs/>
        </w:rPr>
      </w:pPr>
      <w:r w:rsidRPr="00AA31AF">
        <w:rPr>
          <w:rFonts w:ascii="Times New Roman" w:hAnsi="Times New Roman"/>
          <w:b/>
          <w:bCs/>
        </w:rPr>
        <w:t>Dasar Hukum Perkawinan</w:t>
      </w:r>
    </w:p>
    <w:p w:rsidR="00AA31AF" w:rsidRDefault="00AA31AF" w:rsidP="00E31CFC">
      <w:pPr>
        <w:autoSpaceDE w:val="0"/>
        <w:autoSpaceDN w:val="0"/>
        <w:adjustRightInd w:val="0"/>
        <w:spacing w:line="360" w:lineRule="auto"/>
        <w:ind w:firstLine="720"/>
        <w:jc w:val="both"/>
        <w:rPr>
          <w:sz w:val="22"/>
          <w:szCs w:val="22"/>
          <w:lang w:val="id-ID"/>
        </w:rPr>
      </w:pPr>
      <w:r w:rsidRPr="00AA31AF">
        <w:rPr>
          <w:sz w:val="22"/>
          <w:szCs w:val="22"/>
        </w:rPr>
        <w:t>Adapun dasar perkawinan dalam Islam adalah firman Allah dalam kitab suci Al-Qur'an di antaranya dalam surat an-Nur ayat 32:</w:t>
      </w:r>
    </w:p>
    <w:p w:rsidR="00AA31AF" w:rsidRPr="00B02CEF" w:rsidRDefault="00AA31AF" w:rsidP="00E31CFC">
      <w:pPr>
        <w:autoSpaceDE w:val="0"/>
        <w:autoSpaceDN w:val="0"/>
        <w:bidi/>
        <w:adjustRightInd w:val="0"/>
        <w:spacing w:line="360" w:lineRule="auto"/>
        <w:ind w:left="30"/>
        <w:jc w:val="both"/>
        <w:rPr>
          <w:lang w:val="id-ID"/>
        </w:rPr>
      </w:pPr>
      <w:r w:rsidRPr="00B02CEF">
        <w:rPr>
          <w:rtl/>
        </w:rPr>
        <w:t>وَأَنْكِحُوا الأيَامَى مِنْكُمْ وَالصَّالِحِينَ مِنْ عِبَادِكُمْ وَإِمَائِكُمْ إِنْ يَكُونُوا فُقَرَاءَ يُغْنِهِمُ اللَّهُ مِنْ فَضْلِهِ وَاللَّهُ وَاسِعٌ عَلِيمٌ (٣٢)</w:t>
      </w:r>
    </w:p>
    <w:p w:rsidR="00AA31AF" w:rsidRPr="00AA31AF" w:rsidRDefault="00AA31AF" w:rsidP="00E31CFC">
      <w:pPr>
        <w:autoSpaceDE w:val="0"/>
        <w:autoSpaceDN w:val="0"/>
        <w:adjustRightInd w:val="0"/>
        <w:spacing w:line="360" w:lineRule="auto"/>
        <w:ind w:left="993" w:hanging="993"/>
        <w:jc w:val="both"/>
        <w:rPr>
          <w:sz w:val="22"/>
          <w:szCs w:val="22"/>
          <w:rtl/>
        </w:rPr>
      </w:pPr>
      <w:r w:rsidRPr="00AA31AF">
        <w:rPr>
          <w:sz w:val="22"/>
          <w:szCs w:val="22"/>
        </w:rPr>
        <w:t xml:space="preserve">Artinya: “Dan kawinkanlah orang-orang yang sendirian diantara kamu dan, orang-orang yang layak (berkawin) dari hamba-hamba sahayamu yang lelaki dan hamba-hamba sahayamu yang perempuan. Jika mereka miskin Allah akan </w:t>
      </w:r>
      <w:r w:rsidRPr="00AA31AF">
        <w:rPr>
          <w:sz w:val="22"/>
          <w:szCs w:val="22"/>
        </w:rPr>
        <w:lastRenderedPageBreak/>
        <w:t>memampukan mereka dengan kurnia-Nya. Dan Allah Maha luas (pemberian- Nya) lagi Maha Mengetahui."(QS an-Nur : 32)</w:t>
      </w:r>
      <w:r w:rsidRPr="00AA31AF">
        <w:rPr>
          <w:rStyle w:val="FootnoteReference"/>
          <w:sz w:val="22"/>
          <w:szCs w:val="22"/>
        </w:rPr>
        <w:footnoteReference w:id="14"/>
      </w:r>
    </w:p>
    <w:p w:rsidR="00AA31AF" w:rsidRDefault="00AA31AF" w:rsidP="00E31CFC">
      <w:pPr>
        <w:autoSpaceDE w:val="0"/>
        <w:autoSpaceDN w:val="0"/>
        <w:adjustRightInd w:val="0"/>
        <w:spacing w:line="360" w:lineRule="auto"/>
        <w:jc w:val="both"/>
        <w:rPr>
          <w:sz w:val="22"/>
          <w:szCs w:val="22"/>
          <w:lang w:val="id-ID"/>
        </w:rPr>
      </w:pPr>
    </w:p>
    <w:p w:rsidR="00AA31AF" w:rsidRDefault="00AA31AF" w:rsidP="00E31CFC">
      <w:pPr>
        <w:autoSpaceDE w:val="0"/>
        <w:autoSpaceDN w:val="0"/>
        <w:adjustRightInd w:val="0"/>
        <w:spacing w:line="360" w:lineRule="auto"/>
        <w:jc w:val="both"/>
        <w:rPr>
          <w:sz w:val="22"/>
          <w:szCs w:val="22"/>
          <w:lang w:val="id-ID"/>
        </w:rPr>
      </w:pPr>
      <w:r w:rsidRPr="00AA31AF">
        <w:rPr>
          <w:sz w:val="22"/>
          <w:szCs w:val="22"/>
        </w:rPr>
        <w:t>Dan firman Allah SWT dalam surat ar-Rum ayat 21:</w:t>
      </w:r>
    </w:p>
    <w:p w:rsidR="00AA31AF" w:rsidRPr="00B02CEF" w:rsidRDefault="00AA31AF" w:rsidP="00E31CFC">
      <w:pPr>
        <w:tabs>
          <w:tab w:val="right" w:pos="-2"/>
        </w:tabs>
        <w:autoSpaceDE w:val="0"/>
        <w:autoSpaceDN w:val="0"/>
        <w:bidi/>
        <w:adjustRightInd w:val="0"/>
        <w:spacing w:line="360" w:lineRule="auto"/>
        <w:ind w:left="-2"/>
        <w:jc w:val="both"/>
        <w:rPr>
          <w:rtl/>
        </w:rPr>
      </w:pPr>
      <w:r w:rsidRPr="00B02CEF">
        <w:rPr>
          <w:rtl/>
        </w:rPr>
        <w:t>وَمِنْ آيَاتِهِ أَنْ خَلَقَ لَكُمْ مِنْ أَنْفُسِكُمْ أَزْوَاجًا لِتَسْكُنُوا إِلَيْهَا وَجَعَلَ بَيْنَكُمْ مَوَدَّةً وَرَحْمَةً إِنَّ فِي ذَلِكَ لآيَاتٍ لِقَوْمٍ يَتَفَكَّرُونَ (٢١)</w:t>
      </w:r>
    </w:p>
    <w:p w:rsidR="00AA31AF" w:rsidRPr="00AA31AF" w:rsidRDefault="00AA31AF" w:rsidP="00E31CFC">
      <w:pPr>
        <w:autoSpaceDE w:val="0"/>
        <w:autoSpaceDN w:val="0"/>
        <w:adjustRightInd w:val="0"/>
        <w:spacing w:line="360" w:lineRule="auto"/>
        <w:ind w:left="990" w:hanging="990"/>
        <w:jc w:val="both"/>
        <w:rPr>
          <w:sz w:val="22"/>
          <w:szCs w:val="22"/>
          <w:lang w:bidi="ar-EG"/>
        </w:rPr>
      </w:pPr>
      <w:r w:rsidRPr="00AA31AF">
        <w:rPr>
          <w:sz w:val="22"/>
          <w:szCs w:val="22"/>
          <w:lang w:bidi="ar-EG"/>
        </w:rPr>
        <w:t>Artinya: “</w:t>
      </w:r>
      <w:r w:rsidRPr="00AA31AF">
        <w:rPr>
          <w:sz w:val="22"/>
          <w:szCs w:val="22"/>
        </w:rPr>
        <w:t>Dan di antara tanda-tanda kekuasaan-Nya ialah Dia menciptakan untukmu istri-istri dari jenismu sendiri, supaya kamu cenderung dan merasa tenteram kepadanya, dan dijadikan-Nya di antaramu rasa kasih dan sayang. Sesungguhnya pada yang demikian itu benar-benar terdapat tanda-tanda bagi kaum yang berfikir". (QS. ar-Rum: 21)</w:t>
      </w:r>
      <w:r w:rsidRPr="00AA31AF">
        <w:rPr>
          <w:rStyle w:val="FootnoteReference"/>
          <w:sz w:val="22"/>
          <w:szCs w:val="22"/>
        </w:rPr>
        <w:footnoteReference w:id="15"/>
      </w:r>
    </w:p>
    <w:p w:rsidR="00AA31AF" w:rsidRDefault="00AA31AF" w:rsidP="00E31CFC">
      <w:pPr>
        <w:spacing w:line="360" w:lineRule="auto"/>
        <w:jc w:val="both"/>
        <w:rPr>
          <w:sz w:val="22"/>
          <w:szCs w:val="22"/>
          <w:lang w:val="id-ID"/>
        </w:rPr>
      </w:pPr>
      <w:r w:rsidRPr="00AA31AF">
        <w:rPr>
          <w:sz w:val="22"/>
          <w:szCs w:val="22"/>
        </w:rPr>
        <w:t>Di samping ayat-ayat di atas ada juga hadis-hadis Nabi yang berisi anjuran-anjuran perkawinan di antaranya Sabda Nabi SAW:</w:t>
      </w:r>
    </w:p>
    <w:p w:rsidR="00A25E80" w:rsidRDefault="00AA31AF" w:rsidP="00E31CFC">
      <w:pPr>
        <w:autoSpaceDE w:val="0"/>
        <w:autoSpaceDN w:val="0"/>
        <w:bidi/>
        <w:adjustRightInd w:val="0"/>
        <w:spacing w:line="360" w:lineRule="auto"/>
        <w:ind w:left="-1"/>
        <w:jc w:val="both"/>
        <w:rPr>
          <w:iCs/>
          <w:sz w:val="22"/>
          <w:szCs w:val="22"/>
          <w:lang w:val="id-ID"/>
        </w:rPr>
      </w:pPr>
      <w:r w:rsidRPr="00B02CEF">
        <w:rPr>
          <w:rtl/>
        </w:rPr>
        <w:t>عن عبد الله بن مسعود رضى الله عنه قال قال لنا رسول الله صلى الله عليه وسلم : (يا معشر الشباب من استطاع منكم الباءة فليتزوج, فإنه أغض للبصر واحصن للفرج, ومن لم يستطع فليصمه, فإن له وجاء) متفق عليه.</w:t>
      </w:r>
      <w:r w:rsidRPr="00B02CEF">
        <w:rPr>
          <w:rStyle w:val="FootnoteReference"/>
          <w:sz w:val="22"/>
          <w:szCs w:val="22"/>
          <w:rtl/>
        </w:rPr>
        <w:footnoteReference w:id="16"/>
      </w:r>
      <w:r w:rsidRPr="00B02CEF">
        <w:rPr>
          <w:sz w:val="22"/>
          <w:szCs w:val="22"/>
          <w:rtl/>
        </w:rPr>
        <w:t>S</w:t>
      </w:r>
    </w:p>
    <w:p w:rsidR="00AA31AF" w:rsidRDefault="00AA31AF" w:rsidP="00E31CFC">
      <w:pPr>
        <w:autoSpaceDE w:val="0"/>
        <w:autoSpaceDN w:val="0"/>
        <w:adjustRightInd w:val="0"/>
        <w:spacing w:line="360" w:lineRule="auto"/>
        <w:ind w:left="990" w:hanging="990"/>
        <w:jc w:val="both"/>
        <w:rPr>
          <w:sz w:val="22"/>
          <w:szCs w:val="22"/>
          <w:lang w:val="id-ID"/>
        </w:rPr>
      </w:pPr>
      <w:r w:rsidRPr="00AA31AF">
        <w:rPr>
          <w:iCs/>
          <w:sz w:val="22"/>
          <w:szCs w:val="22"/>
        </w:rPr>
        <w:t>Artinya:</w:t>
      </w:r>
      <w:r w:rsidRPr="00AA31AF">
        <w:rPr>
          <w:i/>
          <w:iCs/>
          <w:sz w:val="22"/>
          <w:szCs w:val="22"/>
        </w:rPr>
        <w:t xml:space="preserve"> </w:t>
      </w:r>
      <w:r w:rsidRPr="00AA31AF">
        <w:rPr>
          <w:iCs/>
          <w:sz w:val="22"/>
          <w:szCs w:val="22"/>
        </w:rPr>
        <w:t>“</w:t>
      </w:r>
      <w:r w:rsidRPr="00AA31AF">
        <w:rPr>
          <w:sz w:val="22"/>
          <w:szCs w:val="22"/>
        </w:rPr>
        <w:t>Dari Abdullah bin Mas'ud r.a ia berkata: Rasulullah SAW bersabda kepada kamu: Wahai para pemuda! barang siapa di antara kamu sekalian yang mampu kawin, kawinlah. Maka sesungguhnya kawin itu lebih memejamkan mata (menundukkan pandangan) dan lebih memelihara kemaluan, barang siapa yang belum mampu kawin (sedangkan sudah menginginkannya) berpuasalah, karena puasa itu menahan nafsu baginya." (HR Bukhari dan Muslim).</w:t>
      </w:r>
    </w:p>
    <w:p w:rsidR="00AA31AF" w:rsidRPr="00B02CEF" w:rsidRDefault="00AA31AF" w:rsidP="00E31CFC">
      <w:pPr>
        <w:tabs>
          <w:tab w:val="left" w:pos="8222"/>
        </w:tabs>
        <w:autoSpaceDE w:val="0"/>
        <w:autoSpaceDN w:val="0"/>
        <w:bidi/>
        <w:adjustRightInd w:val="0"/>
        <w:spacing w:line="360" w:lineRule="auto"/>
        <w:ind w:left="-1"/>
        <w:jc w:val="both"/>
      </w:pPr>
      <w:r w:rsidRPr="00B02CEF">
        <w:rPr>
          <w:rtl/>
        </w:rPr>
        <w:t>وعن أنس ابن مالك رضى الله عنه أن النبى صلى الله عليه وسلم حمد الله واثنى عليه وقال : (لكنى أصوم وأفطر, وأصلى وأرقد, وأتزوج النساء, فمن رغب عن سنتى فليس منى) متفق عليه</w:t>
      </w:r>
      <w:r w:rsidRPr="00B02CEF">
        <w:rPr>
          <w:sz w:val="22"/>
          <w:szCs w:val="22"/>
          <w:rtl/>
        </w:rPr>
        <w:t>.</w:t>
      </w:r>
      <w:r w:rsidRPr="00B02CEF">
        <w:rPr>
          <w:rStyle w:val="FootnoteReference"/>
          <w:sz w:val="22"/>
          <w:szCs w:val="22"/>
          <w:rtl/>
        </w:rPr>
        <w:footnoteReference w:id="17"/>
      </w:r>
    </w:p>
    <w:p w:rsidR="00AA31AF" w:rsidRPr="00AA31AF" w:rsidRDefault="00AA31AF" w:rsidP="00E31CFC">
      <w:pPr>
        <w:tabs>
          <w:tab w:val="left" w:pos="8222"/>
        </w:tabs>
        <w:autoSpaceDE w:val="0"/>
        <w:autoSpaceDN w:val="0"/>
        <w:adjustRightInd w:val="0"/>
        <w:spacing w:line="360" w:lineRule="auto"/>
        <w:ind w:left="993" w:hanging="993"/>
        <w:jc w:val="both"/>
        <w:rPr>
          <w:sz w:val="22"/>
          <w:szCs w:val="22"/>
        </w:rPr>
      </w:pPr>
      <w:r w:rsidRPr="00AA31AF">
        <w:rPr>
          <w:sz w:val="22"/>
          <w:szCs w:val="22"/>
        </w:rPr>
        <w:t>Artinya: “Dari Anas bin Malik r.a bahwa Nabi SAW memuji Allah SWT., dan menyanjung-Nya. Kemudian beliau bersabda: akan tetapi aku shalat,  dan tidur, puasa dan mengawini perempuan. Maka barang siap yang tidak suka akan sunnahku, maka ia bukan dari golonganku". (HR Muttafaqun alaih)</w:t>
      </w:r>
    </w:p>
    <w:p w:rsidR="00AA31AF" w:rsidRPr="00AA31AF" w:rsidRDefault="00AA31AF" w:rsidP="00E31CFC">
      <w:pPr>
        <w:spacing w:line="360" w:lineRule="auto"/>
        <w:ind w:firstLine="720"/>
        <w:jc w:val="both"/>
        <w:rPr>
          <w:sz w:val="22"/>
          <w:szCs w:val="22"/>
          <w:lang w:val="id-ID"/>
        </w:rPr>
      </w:pPr>
      <w:r w:rsidRPr="00AA31AF">
        <w:rPr>
          <w:sz w:val="22"/>
          <w:szCs w:val="22"/>
        </w:rPr>
        <w:lastRenderedPageBreak/>
        <w:t>Berdasarkan dalil-dalil yang menjadi dasar disyari’atkannya perkawinan tersebut di atas, maka hukum asal perkawinan adalah mubah.</w:t>
      </w:r>
      <w:r w:rsidRPr="00AA31AF">
        <w:rPr>
          <w:rStyle w:val="FootnoteReference"/>
          <w:sz w:val="22"/>
          <w:szCs w:val="22"/>
        </w:rPr>
        <w:footnoteReference w:id="18"/>
      </w:r>
      <w:r w:rsidRPr="00AA31AF">
        <w:rPr>
          <w:sz w:val="22"/>
          <w:szCs w:val="22"/>
          <w:lang w:val="id-ID"/>
        </w:rPr>
        <w:t xml:space="preserve"> </w:t>
      </w:r>
    </w:p>
    <w:p w:rsidR="00AA31AF" w:rsidRPr="00AA31AF" w:rsidRDefault="00AA31AF" w:rsidP="00E31CFC">
      <w:pPr>
        <w:autoSpaceDE w:val="0"/>
        <w:autoSpaceDN w:val="0"/>
        <w:adjustRightInd w:val="0"/>
        <w:spacing w:line="360" w:lineRule="auto"/>
        <w:ind w:firstLine="720"/>
        <w:jc w:val="both"/>
        <w:rPr>
          <w:sz w:val="22"/>
          <w:szCs w:val="22"/>
        </w:rPr>
      </w:pPr>
      <w:r w:rsidRPr="00AA31AF">
        <w:rPr>
          <w:sz w:val="22"/>
          <w:szCs w:val="22"/>
        </w:rPr>
        <w:t>Sedangkan menurut kesepakatan ulama’, bahwa perkawinan merupakan suatu yang disunnahkan.</w:t>
      </w:r>
      <w:r w:rsidRPr="00AA31AF">
        <w:rPr>
          <w:rStyle w:val="FootnoteReference"/>
          <w:sz w:val="22"/>
          <w:szCs w:val="22"/>
        </w:rPr>
        <w:footnoteReference w:id="19"/>
      </w:r>
    </w:p>
    <w:p w:rsidR="00AA31AF" w:rsidRPr="00AA31AF" w:rsidRDefault="00AA31AF" w:rsidP="00E31CFC">
      <w:pPr>
        <w:autoSpaceDE w:val="0"/>
        <w:autoSpaceDN w:val="0"/>
        <w:adjustRightInd w:val="0"/>
        <w:spacing w:line="360" w:lineRule="auto"/>
        <w:ind w:firstLine="720"/>
        <w:jc w:val="both"/>
        <w:rPr>
          <w:sz w:val="22"/>
          <w:szCs w:val="22"/>
        </w:rPr>
      </w:pPr>
      <w:r w:rsidRPr="00AA31AF">
        <w:rPr>
          <w:sz w:val="22"/>
          <w:szCs w:val="22"/>
        </w:rPr>
        <w:t xml:space="preserve">Dan menurut pendapat sebagian sarjana hukum Islam, asal hukum melakukan perkawinan adalah </w:t>
      </w:r>
      <w:r w:rsidRPr="00AA31AF">
        <w:rPr>
          <w:i/>
          <w:iCs/>
          <w:sz w:val="22"/>
          <w:szCs w:val="22"/>
        </w:rPr>
        <w:t>ibahah</w:t>
      </w:r>
      <w:r w:rsidRPr="00AA31AF">
        <w:rPr>
          <w:sz w:val="22"/>
          <w:szCs w:val="22"/>
        </w:rPr>
        <w:t>, kebolehan atau halal.</w:t>
      </w:r>
      <w:r w:rsidRPr="00AA31AF">
        <w:rPr>
          <w:rStyle w:val="FootnoteReference"/>
          <w:sz w:val="22"/>
          <w:szCs w:val="22"/>
        </w:rPr>
        <w:footnoteReference w:id="20"/>
      </w:r>
      <w:r w:rsidRPr="00AA31AF">
        <w:rPr>
          <w:sz w:val="22"/>
          <w:szCs w:val="22"/>
        </w:rPr>
        <w:t xml:space="preserve"> </w:t>
      </w:r>
    </w:p>
    <w:p w:rsidR="00AA31AF" w:rsidRPr="00AA31AF" w:rsidRDefault="00AA31AF" w:rsidP="00E31CFC">
      <w:pPr>
        <w:autoSpaceDE w:val="0"/>
        <w:autoSpaceDN w:val="0"/>
        <w:adjustRightInd w:val="0"/>
        <w:spacing w:line="360" w:lineRule="auto"/>
        <w:ind w:firstLine="720"/>
        <w:jc w:val="both"/>
        <w:rPr>
          <w:sz w:val="22"/>
          <w:szCs w:val="22"/>
        </w:rPr>
      </w:pPr>
      <w:r w:rsidRPr="00AA31AF">
        <w:rPr>
          <w:sz w:val="22"/>
          <w:szCs w:val="22"/>
        </w:rPr>
        <w:t xml:space="preserve">Namun berdasarkan </w:t>
      </w:r>
      <w:r w:rsidRPr="00AA31AF">
        <w:rPr>
          <w:i/>
          <w:iCs/>
          <w:sz w:val="22"/>
          <w:szCs w:val="22"/>
        </w:rPr>
        <w:t xml:space="preserve">illat </w:t>
      </w:r>
      <w:r w:rsidRPr="00AA31AF">
        <w:rPr>
          <w:sz w:val="22"/>
          <w:szCs w:val="22"/>
        </w:rPr>
        <w:t>nya atau dilihat dari segi kondisi orang yang melaksanakannya serta tujuan melaksanakannya, maka melakukan perkawinan itu dapat beralih hukumnya menjadi sunnah, wajib, makruh, haram dan boleh atau mubah.</w:t>
      </w:r>
    </w:p>
    <w:p w:rsidR="00AA31AF" w:rsidRPr="00AA31AF" w:rsidRDefault="00AA31AF" w:rsidP="00E31CFC">
      <w:pPr>
        <w:pStyle w:val="ListParagraph"/>
        <w:numPr>
          <w:ilvl w:val="0"/>
          <w:numId w:val="2"/>
        </w:numPr>
        <w:autoSpaceDE w:val="0"/>
        <w:autoSpaceDN w:val="0"/>
        <w:adjustRightInd w:val="0"/>
        <w:spacing w:after="0" w:line="360" w:lineRule="auto"/>
        <w:ind w:left="426" w:hanging="426"/>
        <w:jc w:val="both"/>
        <w:rPr>
          <w:rFonts w:ascii="Times New Roman" w:hAnsi="Times New Roman"/>
        </w:rPr>
      </w:pPr>
      <w:r w:rsidRPr="00AA31AF">
        <w:rPr>
          <w:rFonts w:ascii="Times New Roman" w:hAnsi="Times New Roman"/>
        </w:rPr>
        <w:t>Melakukan perkawinan hukumnya wajib bagi orang yang telah mempunyai kemauan dan kemampuan untuk kawin dikhawatirkan akan tergelincirnya pada perbuatan zina seandainya ia tidak kawin, maka hukum melakukan perkawinan bagi orang tersebut adalah wajib.</w:t>
      </w:r>
    </w:p>
    <w:p w:rsidR="00A25E80" w:rsidRDefault="00AA31AF" w:rsidP="00E31CFC">
      <w:pPr>
        <w:pStyle w:val="ListParagraph"/>
        <w:numPr>
          <w:ilvl w:val="0"/>
          <w:numId w:val="2"/>
        </w:numPr>
        <w:autoSpaceDE w:val="0"/>
        <w:autoSpaceDN w:val="0"/>
        <w:adjustRightInd w:val="0"/>
        <w:spacing w:after="0" w:line="360" w:lineRule="auto"/>
        <w:ind w:left="426" w:hanging="426"/>
        <w:jc w:val="both"/>
        <w:rPr>
          <w:rFonts w:ascii="Times New Roman" w:hAnsi="Times New Roman"/>
        </w:rPr>
      </w:pPr>
      <w:r w:rsidRPr="00AA31AF">
        <w:rPr>
          <w:rFonts w:ascii="Times New Roman" w:hAnsi="Times New Roman"/>
        </w:rPr>
        <w:t>Melakukan perkawinan hukumnya sunnah bagi orang yang telah mempunyai kemauan dan kemampuan untuk melangsungkan perkawinan, tetapi kalau tidak kawin tidak dikhawatirkan akan berbuat zina, maka hukum melakukan perkawinan bagi orang tersebut adalah sunnah.</w:t>
      </w:r>
    </w:p>
    <w:p w:rsidR="00AA31AF" w:rsidRPr="00A25E80" w:rsidRDefault="00AA31AF" w:rsidP="00E31CFC">
      <w:pPr>
        <w:pStyle w:val="ListParagraph"/>
        <w:numPr>
          <w:ilvl w:val="0"/>
          <w:numId w:val="2"/>
        </w:numPr>
        <w:autoSpaceDE w:val="0"/>
        <w:autoSpaceDN w:val="0"/>
        <w:adjustRightInd w:val="0"/>
        <w:spacing w:after="0" w:line="360" w:lineRule="auto"/>
        <w:ind w:left="426" w:hanging="426"/>
        <w:jc w:val="both"/>
        <w:rPr>
          <w:rFonts w:ascii="Times New Roman" w:hAnsi="Times New Roman"/>
        </w:rPr>
      </w:pPr>
      <w:r w:rsidRPr="00A25E80">
        <w:rPr>
          <w:rFonts w:ascii="Times New Roman" w:hAnsi="Times New Roman"/>
        </w:rPr>
        <w:t>Melakukan perkawinan hukumnya haram bagi orang yang tidak mempunyai keinginan dan tidak mempunyai kemampuan serta tanggung jawab untuk melaksanakan kewajiban-kewajiban dalam rumah tangga, sehingga apabila melangsungkan perkawinan akan terlantarkan dirinya dan istrinya, maka hukum melakukan perkawinan bagi orang tersebut adalah haram.</w:t>
      </w:r>
      <w:r w:rsidRPr="00AA31AF">
        <w:rPr>
          <w:rStyle w:val="FootnoteReference"/>
        </w:rPr>
        <w:footnoteReference w:id="21"/>
      </w:r>
    </w:p>
    <w:p w:rsidR="00AA31AF" w:rsidRPr="00AA31AF" w:rsidRDefault="00AA31AF" w:rsidP="00E31CFC">
      <w:pPr>
        <w:pStyle w:val="ListParagraph"/>
        <w:numPr>
          <w:ilvl w:val="0"/>
          <w:numId w:val="2"/>
        </w:numPr>
        <w:autoSpaceDE w:val="0"/>
        <w:autoSpaceDN w:val="0"/>
        <w:adjustRightInd w:val="0"/>
        <w:spacing w:after="0" w:line="360" w:lineRule="auto"/>
        <w:ind w:left="426" w:hanging="426"/>
        <w:jc w:val="both"/>
        <w:rPr>
          <w:rFonts w:ascii="Times New Roman" w:hAnsi="Times New Roman"/>
        </w:rPr>
      </w:pPr>
      <w:r w:rsidRPr="00AA31AF">
        <w:rPr>
          <w:rFonts w:ascii="Times New Roman" w:hAnsi="Times New Roman"/>
        </w:rPr>
        <w:t>Melakukan perkawinan hukum makruh jika seseorang yang dipandang sudut pertumbuhan jasmaniyahnya telah wajar untuk kawin walaupun belum sangat mendesak. Tetapi belum ada biaya untuk hidup sehingga kalau dia kawin hanya akan membawa kesengsaraan hidup bagi istri dan anak-anaknya, maka makruh baginya untuk kawin.</w:t>
      </w:r>
      <w:r w:rsidRPr="00AA31AF">
        <w:rPr>
          <w:rStyle w:val="FootnoteReference"/>
        </w:rPr>
        <w:footnoteReference w:id="22"/>
      </w:r>
    </w:p>
    <w:p w:rsidR="00AA31AF" w:rsidRPr="00AA31AF" w:rsidRDefault="00AA31AF" w:rsidP="00E31CFC">
      <w:pPr>
        <w:pStyle w:val="ListParagraph"/>
        <w:numPr>
          <w:ilvl w:val="0"/>
          <w:numId w:val="2"/>
        </w:numPr>
        <w:autoSpaceDE w:val="0"/>
        <w:autoSpaceDN w:val="0"/>
        <w:adjustRightInd w:val="0"/>
        <w:spacing w:after="0" w:line="360" w:lineRule="auto"/>
        <w:ind w:left="426" w:hanging="426"/>
        <w:jc w:val="both"/>
        <w:rPr>
          <w:rFonts w:ascii="Times New Roman" w:hAnsi="Times New Roman"/>
        </w:rPr>
      </w:pPr>
      <w:r w:rsidRPr="00AA31AF">
        <w:rPr>
          <w:rFonts w:ascii="Times New Roman" w:hAnsi="Times New Roman"/>
        </w:rPr>
        <w:t xml:space="preserve">Melakukan perkawinan hukumnya mubah bagi orang yang mempunyai kemampuan untuk melakukannya, tetapi apabila tidak melakukannya tidak khawatir akan berbuat </w:t>
      </w:r>
      <w:r w:rsidRPr="00AA31AF">
        <w:rPr>
          <w:rFonts w:ascii="Times New Roman" w:hAnsi="Times New Roman"/>
        </w:rPr>
        <w:lastRenderedPageBreak/>
        <w:t>zina dan apabila melakukannya juga tidak akan menelantarkan istri. Perkawinan orang tersebut hanya didasarkan untuk memenuhi kesenangan bukan dengan tujuan menjaga kehormatan agamanya dan membina keluarga sejahtera.</w:t>
      </w:r>
      <w:r w:rsidRPr="00AA31AF">
        <w:rPr>
          <w:rStyle w:val="FootnoteReference"/>
        </w:rPr>
        <w:footnoteReference w:id="23"/>
      </w:r>
    </w:p>
    <w:p w:rsidR="00E31CFC" w:rsidRDefault="00E31CFC" w:rsidP="00E31CFC">
      <w:pPr>
        <w:pStyle w:val="ListParagraph"/>
        <w:autoSpaceDE w:val="0"/>
        <w:autoSpaceDN w:val="0"/>
        <w:adjustRightInd w:val="0"/>
        <w:spacing w:after="0" w:line="360" w:lineRule="auto"/>
        <w:ind w:left="0"/>
        <w:jc w:val="both"/>
        <w:rPr>
          <w:rFonts w:ascii="Times New Roman" w:hAnsi="Times New Roman"/>
          <w:b/>
          <w:bCs/>
        </w:rPr>
      </w:pPr>
    </w:p>
    <w:p w:rsidR="00AA31AF" w:rsidRPr="00AA31AF" w:rsidRDefault="00AA31AF" w:rsidP="00E31CFC">
      <w:pPr>
        <w:pStyle w:val="ListParagraph"/>
        <w:autoSpaceDE w:val="0"/>
        <w:autoSpaceDN w:val="0"/>
        <w:adjustRightInd w:val="0"/>
        <w:spacing w:after="0" w:line="360" w:lineRule="auto"/>
        <w:ind w:left="0"/>
        <w:jc w:val="both"/>
        <w:rPr>
          <w:rFonts w:ascii="Times New Roman" w:hAnsi="Times New Roman"/>
          <w:b/>
          <w:bCs/>
        </w:rPr>
      </w:pPr>
      <w:r w:rsidRPr="00AA31AF">
        <w:rPr>
          <w:rFonts w:ascii="Times New Roman" w:hAnsi="Times New Roman"/>
          <w:b/>
          <w:bCs/>
        </w:rPr>
        <w:t>Syarat dan Rukun Perkawinan</w:t>
      </w:r>
    </w:p>
    <w:p w:rsidR="00AA31AF" w:rsidRPr="00AA31AF" w:rsidRDefault="00AA31AF" w:rsidP="00E31CFC">
      <w:pPr>
        <w:autoSpaceDE w:val="0"/>
        <w:autoSpaceDN w:val="0"/>
        <w:adjustRightInd w:val="0"/>
        <w:spacing w:line="360" w:lineRule="auto"/>
        <w:ind w:firstLine="720"/>
        <w:jc w:val="both"/>
        <w:rPr>
          <w:sz w:val="22"/>
          <w:szCs w:val="22"/>
        </w:rPr>
      </w:pPr>
      <w:r w:rsidRPr="00AA31AF">
        <w:rPr>
          <w:sz w:val="22"/>
          <w:szCs w:val="22"/>
        </w:rPr>
        <w:t>Dalam Islam suatu perkawinan dianggap sah jika perkawinan itu telah dilaksanakan dengan memenuhi syarat dan rukunnya sesuai dengan ketentuan-ketentuan yang ada dalam hukum Islam. Syarat yang dimaksud dalam perkawinan ialah suatu hal yang pasti ada dalam perkawinan. Akan tetapi tidak termasuk salah satu bagian dari hakikat perkawinan.</w:t>
      </w:r>
      <w:r w:rsidRPr="00AA31AF">
        <w:rPr>
          <w:rStyle w:val="FootnoteReference"/>
          <w:sz w:val="22"/>
          <w:szCs w:val="22"/>
        </w:rPr>
        <w:footnoteReference w:id="24"/>
      </w:r>
      <w:r w:rsidRPr="00AA31AF">
        <w:rPr>
          <w:sz w:val="22"/>
          <w:szCs w:val="22"/>
        </w:rPr>
        <w:t>Dengan demikian rukun kawin itu wajib terpenuhi ketika diadakan akad perkawinan, sebab tidak sah akadnya jika tidak terpenuhi rukunnya.</w:t>
      </w:r>
      <w:r w:rsidRPr="00AA31AF">
        <w:rPr>
          <w:rStyle w:val="FootnoteReference"/>
          <w:sz w:val="22"/>
          <w:szCs w:val="22"/>
        </w:rPr>
        <w:footnoteReference w:id="25"/>
      </w:r>
    </w:p>
    <w:p w:rsidR="00AA31AF" w:rsidRPr="00AA31AF" w:rsidRDefault="00AA31AF" w:rsidP="00E31CFC">
      <w:pPr>
        <w:autoSpaceDE w:val="0"/>
        <w:autoSpaceDN w:val="0"/>
        <w:adjustRightInd w:val="0"/>
        <w:spacing w:line="360" w:lineRule="auto"/>
        <w:ind w:firstLine="720"/>
        <w:jc w:val="both"/>
        <w:rPr>
          <w:sz w:val="22"/>
          <w:szCs w:val="22"/>
        </w:rPr>
      </w:pPr>
      <w:r w:rsidRPr="00AA31AF">
        <w:rPr>
          <w:sz w:val="22"/>
          <w:szCs w:val="22"/>
        </w:rPr>
        <w:t xml:space="preserve">Syaikh Zainuddin menyebutkan dalam kitabnya </w:t>
      </w:r>
      <w:r w:rsidRPr="00AA31AF">
        <w:rPr>
          <w:i/>
          <w:iCs/>
          <w:sz w:val="22"/>
          <w:szCs w:val="22"/>
        </w:rPr>
        <w:t xml:space="preserve">Fath al-Mu'in </w:t>
      </w:r>
      <w:r w:rsidRPr="00AA31AF">
        <w:rPr>
          <w:sz w:val="22"/>
          <w:szCs w:val="22"/>
        </w:rPr>
        <w:t>bahwa rukun kawin ada lima yaitu calon mempelai pria, calon mempelai</w:t>
      </w:r>
      <w:r w:rsidRPr="00AA31AF">
        <w:rPr>
          <w:sz w:val="22"/>
          <w:szCs w:val="22"/>
          <w:lang w:val="id-ID"/>
        </w:rPr>
        <w:t xml:space="preserve"> </w:t>
      </w:r>
      <w:r w:rsidRPr="00AA31AF">
        <w:rPr>
          <w:sz w:val="22"/>
          <w:szCs w:val="22"/>
        </w:rPr>
        <w:t xml:space="preserve">wanita, wali kawin, saksi kawin dan </w:t>
      </w:r>
      <w:r w:rsidRPr="00AA31AF">
        <w:rPr>
          <w:i/>
          <w:iCs/>
          <w:sz w:val="22"/>
          <w:szCs w:val="22"/>
        </w:rPr>
        <w:t>ijab qabul</w:t>
      </w:r>
      <w:r w:rsidRPr="00AA31AF">
        <w:rPr>
          <w:sz w:val="22"/>
          <w:szCs w:val="22"/>
        </w:rPr>
        <w:t>. Adapun syarat-syarat perkawinan mengikuti rukun-rukun tersebut.</w:t>
      </w:r>
      <w:r w:rsidRPr="00AA31AF">
        <w:rPr>
          <w:rStyle w:val="FootnoteReference"/>
          <w:sz w:val="22"/>
          <w:szCs w:val="22"/>
        </w:rPr>
        <w:footnoteReference w:id="26"/>
      </w:r>
    </w:p>
    <w:p w:rsidR="00AA31AF" w:rsidRPr="00AA31AF" w:rsidRDefault="00AA31AF" w:rsidP="00E31CFC">
      <w:pPr>
        <w:autoSpaceDE w:val="0"/>
        <w:autoSpaceDN w:val="0"/>
        <w:adjustRightInd w:val="0"/>
        <w:spacing w:line="360" w:lineRule="auto"/>
        <w:ind w:firstLine="720"/>
        <w:jc w:val="both"/>
        <w:rPr>
          <w:sz w:val="22"/>
          <w:szCs w:val="22"/>
        </w:rPr>
      </w:pPr>
      <w:r w:rsidRPr="00AA31AF">
        <w:rPr>
          <w:sz w:val="22"/>
          <w:szCs w:val="22"/>
        </w:rPr>
        <w:t>Beberapa rukun kawin yang harus terpenuhi untuk terlaksanakannya  perkawinan adalah sebagai berikut:</w:t>
      </w:r>
    </w:p>
    <w:p w:rsidR="00AA31AF" w:rsidRPr="00AA31AF" w:rsidRDefault="00AA31AF" w:rsidP="00E31CFC">
      <w:pPr>
        <w:pStyle w:val="ListParagraph"/>
        <w:numPr>
          <w:ilvl w:val="0"/>
          <w:numId w:val="5"/>
        </w:numPr>
        <w:autoSpaceDE w:val="0"/>
        <w:autoSpaceDN w:val="0"/>
        <w:adjustRightInd w:val="0"/>
        <w:spacing w:after="0" w:line="360" w:lineRule="auto"/>
        <w:ind w:left="426" w:hanging="426"/>
        <w:jc w:val="both"/>
        <w:rPr>
          <w:rFonts w:ascii="Times New Roman" w:hAnsi="Times New Roman"/>
        </w:rPr>
      </w:pPr>
      <w:r w:rsidRPr="00AA31AF">
        <w:rPr>
          <w:rFonts w:ascii="Times New Roman" w:hAnsi="Times New Roman"/>
        </w:rPr>
        <w:t>Mempelai laki- laki</w:t>
      </w:r>
    </w:p>
    <w:p w:rsidR="00AA31AF" w:rsidRPr="00AA31AF" w:rsidRDefault="00AA31AF" w:rsidP="00E31CFC">
      <w:pPr>
        <w:pStyle w:val="ListParagraph"/>
        <w:numPr>
          <w:ilvl w:val="0"/>
          <w:numId w:val="5"/>
        </w:numPr>
        <w:autoSpaceDE w:val="0"/>
        <w:autoSpaceDN w:val="0"/>
        <w:adjustRightInd w:val="0"/>
        <w:spacing w:after="0" w:line="360" w:lineRule="auto"/>
        <w:ind w:left="426" w:hanging="426"/>
        <w:jc w:val="both"/>
        <w:rPr>
          <w:rFonts w:ascii="Times New Roman" w:hAnsi="Times New Roman"/>
        </w:rPr>
      </w:pPr>
      <w:r w:rsidRPr="00AA31AF">
        <w:rPr>
          <w:rFonts w:ascii="Times New Roman" w:hAnsi="Times New Roman"/>
        </w:rPr>
        <w:t>Mempelai perempuan</w:t>
      </w:r>
    </w:p>
    <w:p w:rsidR="00AA31AF" w:rsidRPr="00AA31AF" w:rsidRDefault="00AA31AF" w:rsidP="00E31CFC">
      <w:pPr>
        <w:pStyle w:val="ListParagraph"/>
        <w:numPr>
          <w:ilvl w:val="0"/>
          <w:numId w:val="5"/>
        </w:numPr>
        <w:autoSpaceDE w:val="0"/>
        <w:autoSpaceDN w:val="0"/>
        <w:adjustRightInd w:val="0"/>
        <w:spacing w:after="0" w:line="360" w:lineRule="auto"/>
        <w:ind w:left="426" w:hanging="426"/>
        <w:jc w:val="both"/>
        <w:rPr>
          <w:rFonts w:ascii="Times New Roman" w:hAnsi="Times New Roman"/>
        </w:rPr>
      </w:pPr>
      <w:r w:rsidRPr="00AA31AF">
        <w:rPr>
          <w:rFonts w:ascii="Times New Roman" w:hAnsi="Times New Roman"/>
        </w:rPr>
        <w:t>Wali</w:t>
      </w:r>
    </w:p>
    <w:p w:rsidR="00AA31AF" w:rsidRPr="00AA31AF" w:rsidRDefault="00AA31AF" w:rsidP="00E31CFC">
      <w:pPr>
        <w:pStyle w:val="ListParagraph"/>
        <w:numPr>
          <w:ilvl w:val="0"/>
          <w:numId w:val="5"/>
        </w:numPr>
        <w:autoSpaceDE w:val="0"/>
        <w:autoSpaceDN w:val="0"/>
        <w:adjustRightInd w:val="0"/>
        <w:spacing w:after="0" w:line="360" w:lineRule="auto"/>
        <w:ind w:left="426" w:hanging="426"/>
        <w:jc w:val="both"/>
        <w:rPr>
          <w:rFonts w:ascii="Times New Roman" w:hAnsi="Times New Roman"/>
        </w:rPr>
      </w:pPr>
      <w:r w:rsidRPr="00AA31AF">
        <w:rPr>
          <w:rFonts w:ascii="Times New Roman" w:hAnsi="Times New Roman"/>
        </w:rPr>
        <w:t>Dua orang saksi</w:t>
      </w:r>
    </w:p>
    <w:p w:rsidR="00AA31AF" w:rsidRPr="00E31CFC" w:rsidRDefault="00AA31AF" w:rsidP="00E31CFC">
      <w:pPr>
        <w:pStyle w:val="ListParagraph"/>
        <w:numPr>
          <w:ilvl w:val="0"/>
          <w:numId w:val="5"/>
        </w:numPr>
        <w:autoSpaceDE w:val="0"/>
        <w:autoSpaceDN w:val="0"/>
        <w:adjustRightInd w:val="0"/>
        <w:spacing w:after="0" w:line="360" w:lineRule="auto"/>
        <w:ind w:left="426" w:hanging="426"/>
        <w:jc w:val="both"/>
        <w:rPr>
          <w:rFonts w:ascii="Times New Roman" w:hAnsi="Times New Roman"/>
        </w:rPr>
      </w:pPr>
      <w:r w:rsidRPr="00E31CFC">
        <w:rPr>
          <w:rFonts w:ascii="Times New Roman" w:hAnsi="Times New Roman"/>
          <w:iCs/>
        </w:rPr>
        <w:t>Shigah (</w:t>
      </w:r>
      <w:r w:rsidRPr="00E31CFC">
        <w:rPr>
          <w:rFonts w:ascii="Times New Roman" w:hAnsi="Times New Roman"/>
          <w:i/>
          <w:iCs/>
        </w:rPr>
        <w:t>ijab qabul</w:t>
      </w:r>
      <w:r w:rsidRPr="00E31CFC">
        <w:rPr>
          <w:rFonts w:ascii="Times New Roman" w:hAnsi="Times New Roman"/>
          <w:iCs/>
        </w:rPr>
        <w:t>).</w:t>
      </w:r>
      <w:r w:rsidRPr="00E31CFC">
        <w:rPr>
          <w:rStyle w:val="FootnoteReference"/>
        </w:rPr>
        <w:footnoteReference w:id="27"/>
      </w:r>
    </w:p>
    <w:p w:rsidR="00AA31AF" w:rsidRPr="00AA31AF" w:rsidRDefault="00AA31AF" w:rsidP="000E3AE2">
      <w:pPr>
        <w:autoSpaceDE w:val="0"/>
        <w:autoSpaceDN w:val="0"/>
        <w:adjustRightInd w:val="0"/>
        <w:spacing w:line="336" w:lineRule="auto"/>
        <w:ind w:firstLine="720"/>
        <w:jc w:val="both"/>
        <w:rPr>
          <w:sz w:val="22"/>
          <w:szCs w:val="22"/>
        </w:rPr>
      </w:pPr>
      <w:r w:rsidRPr="00AA31AF">
        <w:rPr>
          <w:sz w:val="22"/>
          <w:szCs w:val="22"/>
        </w:rPr>
        <w:t>Kemudian dari kelima rukun kawin tersebut maka terdapat syarat yang menjadikan syahnya suatu perkawinan. Jadi, jika syarat-syaratnya terpenuhi, maka perkawinan menjadi sah dan dari sanalah timbul kewajiban dan hak-hak perkawinan.</w:t>
      </w:r>
      <w:r w:rsidRPr="00AA31AF">
        <w:rPr>
          <w:rStyle w:val="FootnoteReference"/>
          <w:sz w:val="22"/>
          <w:szCs w:val="22"/>
        </w:rPr>
        <w:footnoteReference w:id="28"/>
      </w:r>
      <w:r w:rsidRPr="00AA31AF">
        <w:rPr>
          <w:sz w:val="22"/>
          <w:szCs w:val="22"/>
        </w:rPr>
        <w:t xml:space="preserve"> Adapun syarat-syarat yang harus terpenuhi adalah sebagai berikut:</w:t>
      </w:r>
    </w:p>
    <w:p w:rsidR="00AA31AF" w:rsidRPr="00AA31AF" w:rsidRDefault="00AA31AF" w:rsidP="000E3AE2">
      <w:pPr>
        <w:pStyle w:val="ListParagraph"/>
        <w:numPr>
          <w:ilvl w:val="0"/>
          <w:numId w:val="3"/>
        </w:numPr>
        <w:autoSpaceDE w:val="0"/>
        <w:autoSpaceDN w:val="0"/>
        <w:adjustRightInd w:val="0"/>
        <w:spacing w:after="0" w:line="336" w:lineRule="auto"/>
        <w:ind w:left="426" w:hanging="426"/>
        <w:jc w:val="both"/>
        <w:rPr>
          <w:rFonts w:ascii="Times New Roman" w:hAnsi="Times New Roman"/>
        </w:rPr>
      </w:pPr>
      <w:r w:rsidRPr="00AA31AF">
        <w:rPr>
          <w:rFonts w:ascii="Times New Roman" w:hAnsi="Times New Roman"/>
        </w:rPr>
        <w:lastRenderedPageBreak/>
        <w:t>Calon mempelai pria, seorang calon mempelai pria harus memenuhi syarat-syarat sebagai berikut:</w:t>
      </w:r>
    </w:p>
    <w:p w:rsidR="00AA31AF" w:rsidRPr="00AA31AF" w:rsidRDefault="00AA31AF" w:rsidP="000E3AE2">
      <w:pPr>
        <w:pStyle w:val="ListParagraph"/>
        <w:numPr>
          <w:ilvl w:val="0"/>
          <w:numId w:val="4"/>
        </w:numPr>
        <w:autoSpaceDE w:val="0"/>
        <w:autoSpaceDN w:val="0"/>
        <w:adjustRightInd w:val="0"/>
        <w:spacing w:after="0" w:line="336" w:lineRule="auto"/>
        <w:ind w:left="709" w:hanging="283"/>
        <w:jc w:val="both"/>
        <w:rPr>
          <w:rFonts w:ascii="Times New Roman" w:hAnsi="Times New Roman"/>
        </w:rPr>
      </w:pPr>
      <w:r w:rsidRPr="00AA31AF">
        <w:rPr>
          <w:rFonts w:ascii="Times New Roman" w:hAnsi="Times New Roman"/>
        </w:rPr>
        <w:t>Beragama Islam</w:t>
      </w:r>
    </w:p>
    <w:p w:rsidR="00AA31AF" w:rsidRPr="00AA31AF" w:rsidRDefault="00AA31AF" w:rsidP="000E3AE2">
      <w:pPr>
        <w:pStyle w:val="ListParagraph"/>
        <w:numPr>
          <w:ilvl w:val="0"/>
          <w:numId w:val="4"/>
        </w:numPr>
        <w:autoSpaceDE w:val="0"/>
        <w:autoSpaceDN w:val="0"/>
        <w:adjustRightInd w:val="0"/>
        <w:spacing w:after="0" w:line="336" w:lineRule="auto"/>
        <w:ind w:left="709" w:hanging="283"/>
        <w:jc w:val="both"/>
        <w:rPr>
          <w:rFonts w:ascii="Times New Roman" w:hAnsi="Times New Roman"/>
        </w:rPr>
      </w:pPr>
      <w:r w:rsidRPr="00AA31AF">
        <w:rPr>
          <w:rFonts w:ascii="Times New Roman" w:hAnsi="Times New Roman"/>
        </w:rPr>
        <w:t>Laki- laki</w:t>
      </w:r>
    </w:p>
    <w:p w:rsidR="00AA31AF" w:rsidRPr="00AA31AF" w:rsidRDefault="00AA31AF" w:rsidP="000E3AE2">
      <w:pPr>
        <w:pStyle w:val="ListParagraph"/>
        <w:numPr>
          <w:ilvl w:val="0"/>
          <w:numId w:val="4"/>
        </w:numPr>
        <w:autoSpaceDE w:val="0"/>
        <w:autoSpaceDN w:val="0"/>
        <w:adjustRightInd w:val="0"/>
        <w:spacing w:after="0" w:line="336" w:lineRule="auto"/>
        <w:ind w:left="709" w:hanging="283"/>
        <w:jc w:val="both"/>
        <w:rPr>
          <w:rFonts w:ascii="Times New Roman" w:hAnsi="Times New Roman"/>
        </w:rPr>
      </w:pPr>
      <w:r w:rsidRPr="00AA31AF">
        <w:rPr>
          <w:rFonts w:ascii="Times New Roman" w:hAnsi="Times New Roman"/>
        </w:rPr>
        <w:t>Jelas orangnya</w:t>
      </w:r>
    </w:p>
    <w:p w:rsidR="00AA31AF" w:rsidRPr="00AA31AF" w:rsidRDefault="00AA31AF" w:rsidP="000E3AE2">
      <w:pPr>
        <w:pStyle w:val="ListParagraph"/>
        <w:numPr>
          <w:ilvl w:val="0"/>
          <w:numId w:val="4"/>
        </w:numPr>
        <w:autoSpaceDE w:val="0"/>
        <w:autoSpaceDN w:val="0"/>
        <w:adjustRightInd w:val="0"/>
        <w:spacing w:after="0" w:line="336" w:lineRule="auto"/>
        <w:ind w:left="709" w:hanging="283"/>
        <w:jc w:val="both"/>
        <w:rPr>
          <w:rFonts w:ascii="Times New Roman" w:hAnsi="Times New Roman"/>
        </w:rPr>
      </w:pPr>
      <w:r w:rsidRPr="00AA31AF">
        <w:rPr>
          <w:rFonts w:ascii="Times New Roman" w:hAnsi="Times New Roman"/>
        </w:rPr>
        <w:t>Dapat memberikan persetujuan</w:t>
      </w:r>
    </w:p>
    <w:p w:rsidR="00AA31AF" w:rsidRPr="00AA31AF" w:rsidRDefault="00AA31AF" w:rsidP="00E31CFC">
      <w:pPr>
        <w:pStyle w:val="ListParagraph"/>
        <w:numPr>
          <w:ilvl w:val="0"/>
          <w:numId w:val="4"/>
        </w:numPr>
        <w:autoSpaceDE w:val="0"/>
        <w:autoSpaceDN w:val="0"/>
        <w:adjustRightInd w:val="0"/>
        <w:spacing w:after="0" w:line="360" w:lineRule="auto"/>
        <w:ind w:left="709" w:hanging="283"/>
        <w:jc w:val="both"/>
        <w:rPr>
          <w:rFonts w:ascii="Times New Roman" w:hAnsi="Times New Roman"/>
        </w:rPr>
      </w:pPr>
      <w:r w:rsidRPr="00AA31AF">
        <w:rPr>
          <w:rFonts w:ascii="Times New Roman" w:hAnsi="Times New Roman"/>
        </w:rPr>
        <w:t>Tidak terdapat halangan perkawinan</w:t>
      </w:r>
    </w:p>
    <w:p w:rsidR="00AA31AF" w:rsidRPr="00AA31AF" w:rsidRDefault="00AA31AF" w:rsidP="00E31CFC">
      <w:pPr>
        <w:pStyle w:val="ListParagraph"/>
        <w:numPr>
          <w:ilvl w:val="0"/>
          <w:numId w:val="3"/>
        </w:numPr>
        <w:autoSpaceDE w:val="0"/>
        <w:autoSpaceDN w:val="0"/>
        <w:adjustRightInd w:val="0"/>
        <w:spacing w:after="0" w:line="360" w:lineRule="auto"/>
        <w:ind w:left="426" w:hanging="426"/>
        <w:jc w:val="both"/>
        <w:rPr>
          <w:rFonts w:ascii="Times New Roman" w:hAnsi="Times New Roman"/>
        </w:rPr>
      </w:pPr>
      <w:r w:rsidRPr="00AA31AF">
        <w:rPr>
          <w:rFonts w:ascii="Times New Roman" w:hAnsi="Times New Roman"/>
        </w:rPr>
        <w:t>Calon mempelai wanita, seorang calon mempelai harus memenuhi syarat-syarat sebagai berikut:</w:t>
      </w:r>
    </w:p>
    <w:p w:rsidR="00AA31AF" w:rsidRPr="00AA31AF" w:rsidRDefault="00AA31AF" w:rsidP="00E31CFC">
      <w:pPr>
        <w:spacing w:line="360" w:lineRule="auto"/>
        <w:jc w:val="both"/>
        <w:rPr>
          <w:sz w:val="22"/>
          <w:szCs w:val="22"/>
          <w:lang w:val="id-ID"/>
        </w:rPr>
      </w:pPr>
      <w:r w:rsidRPr="00AA31AF">
        <w:rPr>
          <w:sz w:val="22"/>
          <w:szCs w:val="22"/>
        </w:rPr>
        <w:t>Beragama Islam</w:t>
      </w:r>
    </w:p>
    <w:p w:rsidR="00AA31AF" w:rsidRPr="00AA31AF" w:rsidRDefault="00AA31AF" w:rsidP="00E31CFC">
      <w:pPr>
        <w:pStyle w:val="ListParagraph"/>
        <w:numPr>
          <w:ilvl w:val="0"/>
          <w:numId w:val="6"/>
        </w:numPr>
        <w:autoSpaceDE w:val="0"/>
        <w:autoSpaceDN w:val="0"/>
        <w:adjustRightInd w:val="0"/>
        <w:spacing w:after="0" w:line="360" w:lineRule="auto"/>
        <w:ind w:left="709" w:hanging="283"/>
        <w:jc w:val="both"/>
        <w:rPr>
          <w:rFonts w:ascii="Times New Roman" w:hAnsi="Times New Roman"/>
        </w:rPr>
      </w:pPr>
      <w:r w:rsidRPr="00AA31AF">
        <w:rPr>
          <w:rFonts w:ascii="Times New Roman" w:hAnsi="Times New Roman"/>
        </w:rPr>
        <w:t>Perempuan</w:t>
      </w:r>
    </w:p>
    <w:p w:rsidR="00AA31AF" w:rsidRPr="00AA31AF" w:rsidRDefault="00AA31AF" w:rsidP="00E31CFC">
      <w:pPr>
        <w:pStyle w:val="ListParagraph"/>
        <w:numPr>
          <w:ilvl w:val="0"/>
          <w:numId w:val="6"/>
        </w:numPr>
        <w:autoSpaceDE w:val="0"/>
        <w:autoSpaceDN w:val="0"/>
        <w:adjustRightInd w:val="0"/>
        <w:spacing w:after="0" w:line="360" w:lineRule="auto"/>
        <w:ind w:left="709" w:hanging="283"/>
        <w:jc w:val="both"/>
        <w:rPr>
          <w:rFonts w:ascii="Times New Roman" w:hAnsi="Times New Roman"/>
        </w:rPr>
      </w:pPr>
      <w:r w:rsidRPr="00AA31AF">
        <w:rPr>
          <w:rFonts w:ascii="Times New Roman" w:hAnsi="Times New Roman"/>
        </w:rPr>
        <w:t>Jelas orangnya</w:t>
      </w:r>
      <w:r w:rsidR="00B02CEF">
        <w:rPr>
          <w:rFonts w:ascii="Times New Roman" w:hAnsi="Times New Roman"/>
        </w:rPr>
        <w:t xml:space="preserve"> </w:t>
      </w:r>
      <w:r w:rsidR="00B02CEF" w:rsidRPr="00AA31AF">
        <w:rPr>
          <w:rFonts w:ascii="Times New Roman" w:hAnsi="Times New Roman"/>
        </w:rPr>
        <w:t xml:space="preserve">dapat </w:t>
      </w:r>
      <w:r w:rsidRPr="00AA31AF">
        <w:rPr>
          <w:rFonts w:ascii="Times New Roman" w:hAnsi="Times New Roman"/>
        </w:rPr>
        <w:t>dimintai persetujuannya</w:t>
      </w:r>
    </w:p>
    <w:p w:rsidR="00AA31AF" w:rsidRPr="00AA31AF" w:rsidRDefault="00AA31AF" w:rsidP="00E31CFC">
      <w:pPr>
        <w:pStyle w:val="ListParagraph"/>
        <w:numPr>
          <w:ilvl w:val="0"/>
          <w:numId w:val="6"/>
        </w:numPr>
        <w:autoSpaceDE w:val="0"/>
        <w:autoSpaceDN w:val="0"/>
        <w:adjustRightInd w:val="0"/>
        <w:spacing w:after="0" w:line="360" w:lineRule="auto"/>
        <w:ind w:left="709" w:hanging="283"/>
        <w:jc w:val="both"/>
        <w:rPr>
          <w:rFonts w:ascii="Times New Roman" w:hAnsi="Times New Roman"/>
        </w:rPr>
      </w:pPr>
      <w:r w:rsidRPr="00AA31AF">
        <w:rPr>
          <w:rFonts w:ascii="Times New Roman" w:hAnsi="Times New Roman"/>
        </w:rPr>
        <w:t>Tidak terdapat halangan perkawinan</w:t>
      </w:r>
    </w:p>
    <w:p w:rsidR="00AA31AF" w:rsidRPr="00AA31AF" w:rsidRDefault="00AA31AF" w:rsidP="00E31CFC">
      <w:pPr>
        <w:pStyle w:val="ListParagraph"/>
        <w:numPr>
          <w:ilvl w:val="0"/>
          <w:numId w:val="3"/>
        </w:numPr>
        <w:autoSpaceDE w:val="0"/>
        <w:autoSpaceDN w:val="0"/>
        <w:adjustRightInd w:val="0"/>
        <w:spacing w:after="0" w:line="360" w:lineRule="auto"/>
        <w:ind w:left="426" w:hanging="426"/>
        <w:jc w:val="both"/>
        <w:rPr>
          <w:rFonts w:ascii="Times New Roman" w:hAnsi="Times New Roman"/>
        </w:rPr>
      </w:pPr>
      <w:r w:rsidRPr="00AA31AF">
        <w:rPr>
          <w:rFonts w:ascii="Times New Roman" w:hAnsi="Times New Roman"/>
        </w:rPr>
        <w:t>Wali Kawin, seorang wali nikah harus memenuhi syarat-syarat sebagai berikut:</w:t>
      </w:r>
    </w:p>
    <w:p w:rsidR="00AA31AF" w:rsidRPr="00AA31AF" w:rsidRDefault="00AA31AF" w:rsidP="00E31CFC">
      <w:pPr>
        <w:pStyle w:val="ListParagraph"/>
        <w:numPr>
          <w:ilvl w:val="0"/>
          <w:numId w:val="7"/>
        </w:numPr>
        <w:autoSpaceDE w:val="0"/>
        <w:autoSpaceDN w:val="0"/>
        <w:adjustRightInd w:val="0"/>
        <w:spacing w:after="0" w:line="360" w:lineRule="auto"/>
        <w:ind w:left="709" w:hanging="283"/>
        <w:jc w:val="both"/>
        <w:rPr>
          <w:rFonts w:ascii="Times New Roman" w:hAnsi="Times New Roman"/>
        </w:rPr>
      </w:pPr>
      <w:r w:rsidRPr="00AA31AF">
        <w:rPr>
          <w:rFonts w:ascii="Times New Roman" w:hAnsi="Times New Roman"/>
        </w:rPr>
        <w:t>Laki- laki</w:t>
      </w:r>
    </w:p>
    <w:p w:rsidR="00AA31AF" w:rsidRPr="00AA31AF" w:rsidRDefault="00AA31AF" w:rsidP="00E31CFC">
      <w:pPr>
        <w:pStyle w:val="ListParagraph"/>
        <w:numPr>
          <w:ilvl w:val="0"/>
          <w:numId w:val="7"/>
        </w:numPr>
        <w:autoSpaceDE w:val="0"/>
        <w:autoSpaceDN w:val="0"/>
        <w:adjustRightInd w:val="0"/>
        <w:spacing w:after="0" w:line="360" w:lineRule="auto"/>
        <w:ind w:left="709" w:hanging="283"/>
        <w:jc w:val="both"/>
        <w:rPr>
          <w:rFonts w:ascii="Times New Roman" w:hAnsi="Times New Roman"/>
        </w:rPr>
      </w:pPr>
      <w:r w:rsidRPr="00AA31AF">
        <w:rPr>
          <w:rFonts w:ascii="Times New Roman" w:hAnsi="Times New Roman"/>
        </w:rPr>
        <w:t>Dewasa</w:t>
      </w:r>
    </w:p>
    <w:p w:rsidR="00AA31AF" w:rsidRPr="00AA31AF" w:rsidRDefault="00AA31AF" w:rsidP="00E31CFC">
      <w:pPr>
        <w:pStyle w:val="ListParagraph"/>
        <w:numPr>
          <w:ilvl w:val="0"/>
          <w:numId w:val="7"/>
        </w:numPr>
        <w:autoSpaceDE w:val="0"/>
        <w:autoSpaceDN w:val="0"/>
        <w:adjustRightInd w:val="0"/>
        <w:spacing w:after="0" w:line="360" w:lineRule="auto"/>
        <w:ind w:left="709" w:hanging="283"/>
        <w:jc w:val="both"/>
        <w:rPr>
          <w:rFonts w:ascii="Times New Roman" w:hAnsi="Times New Roman"/>
        </w:rPr>
      </w:pPr>
      <w:r w:rsidRPr="00AA31AF">
        <w:rPr>
          <w:rFonts w:ascii="Times New Roman" w:hAnsi="Times New Roman"/>
        </w:rPr>
        <w:t>Mempunyai hak perwalian</w:t>
      </w:r>
    </w:p>
    <w:p w:rsidR="00AA31AF" w:rsidRPr="00AA31AF" w:rsidRDefault="00AA31AF" w:rsidP="00E31CFC">
      <w:pPr>
        <w:pStyle w:val="ListParagraph"/>
        <w:numPr>
          <w:ilvl w:val="0"/>
          <w:numId w:val="7"/>
        </w:numPr>
        <w:autoSpaceDE w:val="0"/>
        <w:autoSpaceDN w:val="0"/>
        <w:adjustRightInd w:val="0"/>
        <w:spacing w:after="0" w:line="360" w:lineRule="auto"/>
        <w:ind w:left="709" w:hanging="283"/>
        <w:jc w:val="both"/>
        <w:rPr>
          <w:rFonts w:ascii="Times New Roman" w:hAnsi="Times New Roman"/>
        </w:rPr>
      </w:pPr>
      <w:r w:rsidRPr="00AA31AF">
        <w:rPr>
          <w:rFonts w:ascii="Times New Roman" w:hAnsi="Times New Roman"/>
        </w:rPr>
        <w:t>Tidak terdapat halangan perkawinan</w:t>
      </w:r>
      <w:r w:rsidRPr="00AA31AF">
        <w:rPr>
          <w:rStyle w:val="FootnoteReference"/>
        </w:rPr>
        <w:footnoteReference w:id="29"/>
      </w:r>
    </w:p>
    <w:p w:rsidR="00AA31AF" w:rsidRPr="00AA31AF" w:rsidRDefault="00AA31AF" w:rsidP="00E31CFC">
      <w:pPr>
        <w:pStyle w:val="ListParagraph"/>
        <w:numPr>
          <w:ilvl w:val="0"/>
          <w:numId w:val="3"/>
        </w:numPr>
        <w:autoSpaceDE w:val="0"/>
        <w:autoSpaceDN w:val="0"/>
        <w:adjustRightInd w:val="0"/>
        <w:spacing w:after="0" w:line="360" w:lineRule="auto"/>
        <w:ind w:left="426" w:hanging="426"/>
        <w:jc w:val="both"/>
        <w:rPr>
          <w:rFonts w:ascii="Times New Roman" w:hAnsi="Times New Roman"/>
        </w:rPr>
      </w:pPr>
      <w:r w:rsidRPr="00AA31AF">
        <w:rPr>
          <w:rFonts w:ascii="Times New Roman" w:hAnsi="Times New Roman"/>
        </w:rPr>
        <w:t>Saksi Kawin, harus memenuhi syarat-syarat sebagai berikut:</w:t>
      </w:r>
    </w:p>
    <w:p w:rsidR="00AA31AF" w:rsidRPr="00AA31AF" w:rsidRDefault="00AA31AF" w:rsidP="00E31CFC">
      <w:pPr>
        <w:pStyle w:val="ListParagraph"/>
        <w:numPr>
          <w:ilvl w:val="1"/>
          <w:numId w:val="3"/>
        </w:numPr>
        <w:autoSpaceDE w:val="0"/>
        <w:autoSpaceDN w:val="0"/>
        <w:adjustRightInd w:val="0"/>
        <w:spacing w:after="0" w:line="360" w:lineRule="auto"/>
        <w:ind w:left="709" w:hanging="283"/>
        <w:jc w:val="both"/>
        <w:rPr>
          <w:rFonts w:ascii="Times New Roman" w:hAnsi="Times New Roman"/>
        </w:rPr>
      </w:pPr>
      <w:r w:rsidRPr="00AA31AF">
        <w:rPr>
          <w:rFonts w:ascii="Times New Roman" w:hAnsi="Times New Roman"/>
        </w:rPr>
        <w:t>Minimal dua orang laki- laki</w:t>
      </w:r>
    </w:p>
    <w:p w:rsidR="00AA31AF" w:rsidRPr="00AA31AF" w:rsidRDefault="00AA31AF" w:rsidP="00E31CFC">
      <w:pPr>
        <w:pStyle w:val="ListParagraph"/>
        <w:numPr>
          <w:ilvl w:val="1"/>
          <w:numId w:val="3"/>
        </w:numPr>
        <w:autoSpaceDE w:val="0"/>
        <w:autoSpaceDN w:val="0"/>
        <w:adjustRightInd w:val="0"/>
        <w:spacing w:after="0" w:line="360" w:lineRule="auto"/>
        <w:ind w:left="709" w:hanging="283"/>
        <w:jc w:val="both"/>
        <w:rPr>
          <w:rFonts w:ascii="Times New Roman" w:hAnsi="Times New Roman"/>
        </w:rPr>
      </w:pPr>
      <w:r w:rsidRPr="00AA31AF">
        <w:rPr>
          <w:rFonts w:ascii="Times New Roman" w:hAnsi="Times New Roman"/>
        </w:rPr>
        <w:t xml:space="preserve">Hadir dalam </w:t>
      </w:r>
      <w:r w:rsidRPr="00AA31AF">
        <w:rPr>
          <w:rFonts w:ascii="Times New Roman" w:hAnsi="Times New Roman"/>
          <w:i/>
          <w:iCs/>
        </w:rPr>
        <w:t>ijab qabul</w:t>
      </w:r>
    </w:p>
    <w:p w:rsidR="00AA31AF" w:rsidRPr="00AA31AF" w:rsidRDefault="00AA31AF" w:rsidP="00E31CFC">
      <w:pPr>
        <w:pStyle w:val="ListParagraph"/>
        <w:numPr>
          <w:ilvl w:val="1"/>
          <w:numId w:val="3"/>
        </w:numPr>
        <w:autoSpaceDE w:val="0"/>
        <w:autoSpaceDN w:val="0"/>
        <w:adjustRightInd w:val="0"/>
        <w:spacing w:after="0" w:line="360" w:lineRule="auto"/>
        <w:ind w:left="709" w:hanging="283"/>
        <w:jc w:val="both"/>
        <w:rPr>
          <w:rFonts w:ascii="Times New Roman" w:hAnsi="Times New Roman"/>
        </w:rPr>
      </w:pPr>
      <w:r w:rsidRPr="00AA31AF">
        <w:rPr>
          <w:rFonts w:ascii="Times New Roman" w:hAnsi="Times New Roman"/>
        </w:rPr>
        <w:t>Dapat mengerti maksud akad</w:t>
      </w:r>
    </w:p>
    <w:p w:rsidR="00AA31AF" w:rsidRPr="00AA31AF" w:rsidRDefault="00AA31AF" w:rsidP="00E31CFC">
      <w:pPr>
        <w:pStyle w:val="ListParagraph"/>
        <w:numPr>
          <w:ilvl w:val="1"/>
          <w:numId w:val="3"/>
        </w:numPr>
        <w:autoSpaceDE w:val="0"/>
        <w:autoSpaceDN w:val="0"/>
        <w:adjustRightInd w:val="0"/>
        <w:spacing w:after="0" w:line="360" w:lineRule="auto"/>
        <w:ind w:left="709" w:hanging="283"/>
        <w:jc w:val="both"/>
        <w:rPr>
          <w:rFonts w:ascii="Times New Roman" w:hAnsi="Times New Roman"/>
        </w:rPr>
      </w:pPr>
      <w:r w:rsidRPr="00AA31AF">
        <w:rPr>
          <w:rFonts w:ascii="Times New Roman" w:hAnsi="Times New Roman"/>
        </w:rPr>
        <w:t>Islam</w:t>
      </w:r>
    </w:p>
    <w:p w:rsidR="00AA31AF" w:rsidRPr="00AA31AF" w:rsidRDefault="00AA31AF" w:rsidP="00E31CFC">
      <w:pPr>
        <w:pStyle w:val="ListParagraph"/>
        <w:numPr>
          <w:ilvl w:val="1"/>
          <w:numId w:val="3"/>
        </w:numPr>
        <w:autoSpaceDE w:val="0"/>
        <w:autoSpaceDN w:val="0"/>
        <w:adjustRightInd w:val="0"/>
        <w:spacing w:after="0" w:line="360" w:lineRule="auto"/>
        <w:ind w:left="709" w:hanging="283"/>
        <w:jc w:val="both"/>
        <w:rPr>
          <w:rFonts w:ascii="Times New Roman" w:hAnsi="Times New Roman"/>
        </w:rPr>
      </w:pPr>
      <w:r w:rsidRPr="00AA31AF">
        <w:rPr>
          <w:rFonts w:ascii="Times New Roman" w:hAnsi="Times New Roman"/>
        </w:rPr>
        <w:t>Dewasa</w:t>
      </w:r>
      <w:r w:rsidRPr="00AA31AF">
        <w:rPr>
          <w:rStyle w:val="FootnoteReference"/>
        </w:rPr>
        <w:footnoteReference w:id="30"/>
      </w:r>
    </w:p>
    <w:p w:rsidR="00AA31AF" w:rsidRPr="00AA31AF" w:rsidRDefault="00AA31AF" w:rsidP="00E31CFC">
      <w:pPr>
        <w:pStyle w:val="ListParagraph"/>
        <w:numPr>
          <w:ilvl w:val="0"/>
          <w:numId w:val="3"/>
        </w:numPr>
        <w:autoSpaceDE w:val="0"/>
        <w:autoSpaceDN w:val="0"/>
        <w:adjustRightInd w:val="0"/>
        <w:spacing w:after="0" w:line="360" w:lineRule="auto"/>
        <w:ind w:left="426" w:hanging="426"/>
        <w:jc w:val="both"/>
        <w:rPr>
          <w:rFonts w:ascii="Times New Roman" w:hAnsi="Times New Roman"/>
          <w:i/>
          <w:iCs/>
        </w:rPr>
      </w:pPr>
      <w:r w:rsidRPr="00AA31AF">
        <w:rPr>
          <w:rFonts w:ascii="Times New Roman" w:hAnsi="Times New Roman"/>
          <w:i/>
          <w:iCs/>
        </w:rPr>
        <w:t>Ijab Qabul</w:t>
      </w:r>
    </w:p>
    <w:p w:rsidR="00AA31AF" w:rsidRPr="00AA31AF" w:rsidRDefault="00AA31AF" w:rsidP="00E31CFC">
      <w:pPr>
        <w:autoSpaceDE w:val="0"/>
        <w:autoSpaceDN w:val="0"/>
        <w:adjustRightInd w:val="0"/>
        <w:spacing w:line="360" w:lineRule="auto"/>
        <w:ind w:left="426"/>
        <w:jc w:val="both"/>
        <w:rPr>
          <w:sz w:val="22"/>
          <w:szCs w:val="22"/>
        </w:rPr>
      </w:pPr>
      <w:r w:rsidRPr="00AA31AF">
        <w:rPr>
          <w:sz w:val="22"/>
          <w:szCs w:val="22"/>
        </w:rPr>
        <w:t xml:space="preserve">Perkawinan wajib dilakukan dengan </w:t>
      </w:r>
      <w:r w:rsidRPr="00AA31AF">
        <w:rPr>
          <w:i/>
          <w:iCs/>
          <w:sz w:val="22"/>
          <w:szCs w:val="22"/>
        </w:rPr>
        <w:t xml:space="preserve">ijab </w:t>
      </w:r>
      <w:r w:rsidRPr="00AA31AF">
        <w:rPr>
          <w:sz w:val="22"/>
          <w:szCs w:val="22"/>
        </w:rPr>
        <w:t xml:space="preserve">dan </w:t>
      </w:r>
      <w:r w:rsidRPr="00AA31AF">
        <w:rPr>
          <w:i/>
          <w:iCs/>
          <w:sz w:val="22"/>
          <w:szCs w:val="22"/>
        </w:rPr>
        <w:t xml:space="preserve">qabul </w:t>
      </w:r>
      <w:r w:rsidRPr="00AA31AF">
        <w:rPr>
          <w:sz w:val="22"/>
          <w:szCs w:val="22"/>
        </w:rPr>
        <w:t xml:space="preserve">dengan lisan. Inilah yang dinamakan aqad kawin (ikatan atau perjanjian perkawinan). </w:t>
      </w:r>
      <w:r w:rsidRPr="00AA31AF">
        <w:rPr>
          <w:i/>
          <w:iCs/>
          <w:sz w:val="22"/>
          <w:szCs w:val="22"/>
        </w:rPr>
        <w:t xml:space="preserve">Ijab </w:t>
      </w:r>
      <w:r w:rsidRPr="00AA31AF">
        <w:rPr>
          <w:sz w:val="22"/>
          <w:szCs w:val="22"/>
        </w:rPr>
        <w:t xml:space="preserve">dilakukan oleh pihak wali mempelai perempuan atau walinya, sedang </w:t>
      </w:r>
      <w:r w:rsidRPr="00AA31AF">
        <w:rPr>
          <w:i/>
          <w:iCs/>
          <w:sz w:val="22"/>
          <w:szCs w:val="22"/>
        </w:rPr>
        <w:t xml:space="preserve">qabul </w:t>
      </w:r>
      <w:r w:rsidRPr="00AA31AF">
        <w:rPr>
          <w:sz w:val="22"/>
          <w:szCs w:val="22"/>
        </w:rPr>
        <w:t>dilakukan oleh mempelai laki-laki atau wakilnya.</w:t>
      </w:r>
      <w:r w:rsidRPr="00AA31AF">
        <w:rPr>
          <w:rStyle w:val="FootnoteReference"/>
          <w:sz w:val="22"/>
          <w:szCs w:val="22"/>
        </w:rPr>
        <w:footnoteReference w:id="31"/>
      </w:r>
    </w:p>
    <w:p w:rsidR="00AA31AF" w:rsidRPr="00AA31AF" w:rsidRDefault="00AA31AF" w:rsidP="00E31CFC">
      <w:pPr>
        <w:pStyle w:val="ListParagraph"/>
        <w:numPr>
          <w:ilvl w:val="0"/>
          <w:numId w:val="3"/>
        </w:numPr>
        <w:autoSpaceDE w:val="0"/>
        <w:autoSpaceDN w:val="0"/>
        <w:adjustRightInd w:val="0"/>
        <w:spacing w:after="0" w:line="360" w:lineRule="auto"/>
        <w:ind w:left="426" w:hanging="426"/>
        <w:jc w:val="both"/>
        <w:rPr>
          <w:rFonts w:ascii="Times New Roman" w:hAnsi="Times New Roman"/>
        </w:rPr>
      </w:pPr>
      <w:r w:rsidRPr="00AA31AF">
        <w:rPr>
          <w:rFonts w:ascii="Times New Roman" w:hAnsi="Times New Roman"/>
        </w:rPr>
        <w:t>Mahar</w:t>
      </w:r>
    </w:p>
    <w:p w:rsidR="00AA31AF" w:rsidRPr="00AA31AF" w:rsidRDefault="00AA31AF" w:rsidP="00E31CFC">
      <w:pPr>
        <w:spacing w:line="360" w:lineRule="auto"/>
        <w:ind w:left="426"/>
        <w:jc w:val="both"/>
        <w:rPr>
          <w:sz w:val="22"/>
          <w:szCs w:val="22"/>
          <w:lang w:val="id-ID"/>
        </w:rPr>
      </w:pPr>
      <w:r w:rsidRPr="00AA31AF">
        <w:rPr>
          <w:sz w:val="22"/>
          <w:szCs w:val="22"/>
        </w:rPr>
        <w:lastRenderedPageBreak/>
        <w:t>Mahar atau maskawin adalah harta pemberian dari mempelai lelaki kepada mempelai perempuan yang merupakan hak si istri.</w:t>
      </w:r>
      <w:r w:rsidRPr="00AA31AF">
        <w:rPr>
          <w:rStyle w:val="FootnoteReference"/>
          <w:sz w:val="22"/>
          <w:szCs w:val="22"/>
        </w:rPr>
        <w:footnoteReference w:id="32"/>
      </w:r>
      <w:r w:rsidRPr="00AA31AF">
        <w:rPr>
          <w:sz w:val="22"/>
          <w:szCs w:val="22"/>
          <w:lang w:val="id-ID"/>
        </w:rPr>
        <w:t xml:space="preserve"> </w:t>
      </w:r>
    </w:p>
    <w:p w:rsidR="00A25E80" w:rsidRDefault="00A25E80" w:rsidP="00E31CFC">
      <w:pPr>
        <w:pStyle w:val="ListParagraph"/>
        <w:spacing w:after="0" w:line="360" w:lineRule="auto"/>
        <w:ind w:left="0"/>
        <w:jc w:val="both"/>
        <w:rPr>
          <w:rFonts w:ascii="Times New Roman" w:hAnsi="Times New Roman"/>
          <w:b/>
          <w:bCs/>
        </w:rPr>
      </w:pPr>
    </w:p>
    <w:p w:rsidR="00AA31AF" w:rsidRPr="00AA31AF" w:rsidRDefault="00AA31AF" w:rsidP="00E31CFC">
      <w:pPr>
        <w:pStyle w:val="ListParagraph"/>
        <w:spacing w:after="0" w:line="360" w:lineRule="auto"/>
        <w:ind w:left="0"/>
        <w:jc w:val="both"/>
        <w:rPr>
          <w:rFonts w:ascii="Times New Roman" w:hAnsi="Times New Roman"/>
          <w:b/>
          <w:bCs/>
        </w:rPr>
      </w:pPr>
      <w:r w:rsidRPr="00AA31AF">
        <w:rPr>
          <w:rFonts w:ascii="Times New Roman" w:hAnsi="Times New Roman"/>
          <w:b/>
          <w:bCs/>
        </w:rPr>
        <w:t>Wanita yang Haram Dinikahi</w:t>
      </w:r>
    </w:p>
    <w:p w:rsidR="00AA31AF" w:rsidRDefault="00AA31AF" w:rsidP="00E31CFC">
      <w:pPr>
        <w:spacing w:line="360" w:lineRule="auto"/>
        <w:ind w:firstLine="720"/>
        <w:jc w:val="both"/>
        <w:rPr>
          <w:sz w:val="22"/>
          <w:szCs w:val="22"/>
          <w:lang w:val="id-ID"/>
        </w:rPr>
      </w:pPr>
      <w:r w:rsidRPr="00AA31AF">
        <w:rPr>
          <w:sz w:val="22"/>
          <w:szCs w:val="22"/>
        </w:rPr>
        <w:t xml:space="preserve">Wanita dapat dibagi menjadi dua bagian. Pertama, para wanita yang halal dinikahkan dan istilah ini disebut dengan </w:t>
      </w:r>
      <w:r w:rsidRPr="00AA31AF">
        <w:rPr>
          <w:i/>
          <w:sz w:val="22"/>
          <w:szCs w:val="22"/>
        </w:rPr>
        <w:t>al- Nisa al- ajnabiyyat</w:t>
      </w:r>
      <w:r w:rsidRPr="00AA31AF">
        <w:rPr>
          <w:sz w:val="22"/>
          <w:szCs w:val="22"/>
        </w:rPr>
        <w:t xml:space="preserve"> atau wanita yang ajanabi. Maksud wanita yang ajanabi ialah para wanita yang halal dinikahi tanpa adanya sangkut-pautnya dengan nasab atau keturunan, pernikahan, maupun sesusuan. Kedua, para wanita yang haram dinikahi, wanita yang haram dinikahkan disebut dengan </w:t>
      </w:r>
      <w:r w:rsidRPr="00AA31AF">
        <w:rPr>
          <w:i/>
          <w:sz w:val="22"/>
          <w:szCs w:val="22"/>
        </w:rPr>
        <w:t xml:space="preserve">al-Nisaa al- Muharramat </w:t>
      </w:r>
      <w:r w:rsidRPr="00AA31AF">
        <w:rPr>
          <w:sz w:val="22"/>
          <w:szCs w:val="22"/>
        </w:rPr>
        <w:t>atau wanita yang haram dinikahi karena ada beberapa ikatan yang menghalangi untuk dinikahkan. Ikatan yang dimaksud adalah ikatan nasab, ikatan perkawinan dan ikatan sesusuan. Berikut ini penulis akan menerangkan beberapa kriteria tentang wanita yang haram dinikahi.</w:t>
      </w:r>
    </w:p>
    <w:p w:rsidR="00A25E80" w:rsidRPr="00A25E80" w:rsidRDefault="00A25E80" w:rsidP="00E31CFC">
      <w:pPr>
        <w:spacing w:line="360" w:lineRule="auto"/>
        <w:ind w:firstLine="720"/>
        <w:jc w:val="both"/>
        <w:rPr>
          <w:sz w:val="22"/>
          <w:szCs w:val="22"/>
          <w:lang w:val="id-ID"/>
        </w:rPr>
      </w:pPr>
    </w:p>
    <w:p w:rsidR="00AA31AF" w:rsidRDefault="00AA31AF" w:rsidP="00E31CFC">
      <w:pPr>
        <w:spacing w:line="360" w:lineRule="auto"/>
        <w:jc w:val="both"/>
        <w:rPr>
          <w:sz w:val="22"/>
          <w:szCs w:val="22"/>
          <w:lang w:val="id-ID"/>
        </w:rPr>
      </w:pPr>
      <w:r w:rsidRPr="00AA31AF">
        <w:rPr>
          <w:sz w:val="22"/>
          <w:szCs w:val="22"/>
        </w:rPr>
        <w:t>Allah SWT. telah berfirman dalam al-Qur’an:</w:t>
      </w:r>
    </w:p>
    <w:p w:rsidR="00AA31AF" w:rsidRPr="00ED56F8" w:rsidRDefault="00AA31AF" w:rsidP="00E31CFC">
      <w:pPr>
        <w:bidi/>
        <w:spacing w:line="360" w:lineRule="auto"/>
        <w:ind w:left="-1" w:firstLine="30"/>
        <w:jc w:val="both"/>
        <w:rPr>
          <w:rtl/>
        </w:rPr>
      </w:pPr>
      <w:r w:rsidRPr="00ED56F8">
        <w:rPr>
          <w:rtl/>
        </w:rPr>
        <w:t>حُرِّمَتْ عَلَيْكُمْ أُمَّهَاتُكُمْ وَبَنَاتُكُمْ وَأَخَوَاتُكُمْ وَعَمَّاتُكُمْ وَخَالاتُكُمْ وَبَنَاتُ الأخِ وَبَنَاتُ الأخْتِ وَأُمَّهَاتُكُمُ اللاتِي أَرْضَعْنَكُمْ وَأَخَوَاتُكُمْ مِنَ الرَّضَاعَةِ وَأُمَّهَاتُ نِسَائِكُمْ وَرَبَائِبُكُمُ اللاتِي فِي حُجُورِكُمْ مِنْ نِسَائِكُمُ اللاتِي دَخَلْتُمْ بِهِنَّ فَإِنْ لَمْ تَكُونُوا دَخَلْتُمْ بِهِنَّ فَلا جُنَاحَ عَلَيْكُمْ وَحَلائِلُ أَبْنَائِكُمُ الَّذِينَ مِنْ أَصْلابِكُمْ وَأَنْ تَجْمَعُوا بَيْنَ الأخْتَيْنِ إِلا مَا قَدْ سَلَفَ إِنَّ اللَّهَ كَانَ غَفُورًا رَحِيمًا (٢٣)</w:t>
      </w:r>
    </w:p>
    <w:p w:rsidR="00AA31AF" w:rsidRPr="00AA31AF" w:rsidRDefault="00AA31AF" w:rsidP="00E31CFC">
      <w:pPr>
        <w:spacing w:line="360" w:lineRule="auto"/>
        <w:ind w:left="993" w:hanging="993"/>
        <w:jc w:val="both"/>
        <w:rPr>
          <w:sz w:val="22"/>
          <w:szCs w:val="22"/>
        </w:rPr>
      </w:pPr>
      <w:r w:rsidRPr="00AA31AF">
        <w:rPr>
          <w:sz w:val="22"/>
          <w:szCs w:val="22"/>
        </w:rPr>
        <w:t>Artinya: “Diharamkan atas kamu (mengawini) ibu-ibumu; anak-anakmu yang perempuan  saudara-saudaramu yang perempuan, Saudara-saudara bapakmu yang perempuan; Saudara-saudara ibumu yang perempuan; anak-anak perempuan dari saudara-saudaramu yang laki-laki; anak-anak perempuan dari saudara-saudaramu yang perempuan; ibu-ibumu yang menyusui kamu; saudara perempuan sepersusuan; ibu-ibu isterimu (mertua); anak-anak isterimu yang dalam pemeliharaanmu dari isteri yang Telah kamu campuri, tetapi jika kamu belum campur dengan</w:t>
      </w:r>
      <w:r w:rsidRPr="00AA31AF">
        <w:rPr>
          <w:sz w:val="22"/>
          <w:szCs w:val="22"/>
          <w:lang w:val="id-ID"/>
        </w:rPr>
        <w:t xml:space="preserve"> </w:t>
      </w:r>
      <w:r w:rsidRPr="00AA31AF">
        <w:rPr>
          <w:sz w:val="22"/>
          <w:szCs w:val="22"/>
        </w:rPr>
        <w:t xml:space="preserve">isterimu itu (dan sudah kamu ceraikan), Maka tidak berdosa kamu mengawininya; (dan diharamkan bagimu) isteri-isteri anak kandungmu (menantu); dan menghimpunkan (dalam perkawinan) dua perempuan yang bersaudara, kecuali yang Telah terjadi pada masa lampau; </w:t>
      </w:r>
      <w:r w:rsidRPr="00AA31AF">
        <w:rPr>
          <w:sz w:val="22"/>
          <w:szCs w:val="22"/>
        </w:rPr>
        <w:lastRenderedPageBreak/>
        <w:t>Sesungguhnya Allah Maha Pengampun lagi Maha Penyayang.”(QS An-Nisa 4:23)</w:t>
      </w:r>
    </w:p>
    <w:p w:rsidR="00AA31AF" w:rsidRDefault="00AA31AF" w:rsidP="00E31CFC">
      <w:pPr>
        <w:spacing w:line="360" w:lineRule="auto"/>
        <w:ind w:firstLine="720"/>
        <w:jc w:val="both"/>
        <w:rPr>
          <w:sz w:val="22"/>
          <w:szCs w:val="22"/>
          <w:lang w:val="id-ID"/>
        </w:rPr>
      </w:pPr>
      <w:r w:rsidRPr="00AA31AF">
        <w:rPr>
          <w:sz w:val="22"/>
          <w:szCs w:val="22"/>
        </w:rPr>
        <w:t>Dari penjelasan ayat tersebut jelas bagi kita mana saja wanita yang haram untuk dinikahkan dan mana yang halal untuk dinikahkan, kemudian Zakaria al-Anshari dalam kitabnya mengklasifikasikan para wanita yang haram dinikahkan. Sebagaimana dijelaskannnya:</w:t>
      </w:r>
    </w:p>
    <w:p w:rsidR="00AA31AF" w:rsidRPr="00AA31AF" w:rsidRDefault="00AA31AF" w:rsidP="00E31CFC">
      <w:pPr>
        <w:bidi/>
        <w:spacing w:line="360" w:lineRule="auto"/>
        <w:ind w:left="-1"/>
        <w:jc w:val="both"/>
        <w:rPr>
          <w:sz w:val="22"/>
          <w:szCs w:val="22"/>
          <w:rtl/>
          <w:lang w:bidi="ar-EG"/>
        </w:rPr>
      </w:pPr>
      <w:r w:rsidRPr="00ED56F8">
        <w:rPr>
          <w:rtl/>
          <w:lang w:bidi="ar-EG"/>
        </w:rPr>
        <w:t>فالحرام امالعينه سواء كان لنسب وهو نكاح الام والبنت والاخت والعمة والخالة وبنت لاخ وبنت لاخت أو لرضاع وهو كاالنسب أولمصاهرة وهو نكاح زوجة لاب وزوجةلابن وزوجلابنت وزوجلام</w:t>
      </w:r>
      <w:r w:rsidRPr="00AA31AF">
        <w:rPr>
          <w:rStyle w:val="FootnoteReference"/>
          <w:sz w:val="22"/>
          <w:szCs w:val="22"/>
          <w:rtl/>
          <w:lang w:bidi="ar-EG"/>
        </w:rPr>
        <w:footnoteReference w:id="33"/>
      </w:r>
    </w:p>
    <w:p w:rsidR="00ED56F8" w:rsidRPr="000E3AE2" w:rsidRDefault="00AA31AF" w:rsidP="000E3AE2">
      <w:pPr>
        <w:spacing w:line="360" w:lineRule="auto"/>
        <w:ind w:left="993" w:hanging="993"/>
        <w:jc w:val="both"/>
        <w:rPr>
          <w:sz w:val="22"/>
          <w:szCs w:val="22"/>
          <w:lang w:val="id-ID" w:bidi="ar-EG"/>
        </w:rPr>
      </w:pPr>
      <w:r w:rsidRPr="00AA31AF">
        <w:rPr>
          <w:sz w:val="22"/>
          <w:szCs w:val="22"/>
          <w:lang w:bidi="ar-EG"/>
        </w:rPr>
        <w:t>Artinya: “Maka sebab  keharaman pernikahan terkadang karena orangnya sama ada disebabkan hubungan nasab yaitu menikahi ibu nkandung,  anak perempuan kandung, saudari kandung, saudara-saudara ayah yang perempuan, saudara- saudari ibu yang perempuan, anak perempuan dari anak saudara laki-laki, anak perempuan dari saudara perempuan, atau disebabkan hubungan sesuan yaitu seperti hubungan nasab atau karena musharah (semenda) yaitu menikahi istri ayah, istri dari anak laki-laki (menantu), dan suami ibu yang telah dukhul.”</w:t>
      </w:r>
    </w:p>
    <w:p w:rsidR="00AA31AF" w:rsidRPr="00AA31AF" w:rsidRDefault="00AA31AF" w:rsidP="00E31CFC">
      <w:pPr>
        <w:bidi/>
        <w:spacing w:line="360" w:lineRule="auto"/>
        <w:ind w:left="-1" w:firstLine="30"/>
        <w:jc w:val="both"/>
        <w:rPr>
          <w:sz w:val="22"/>
          <w:szCs w:val="22"/>
          <w:lang w:bidi="ar-EG"/>
        </w:rPr>
      </w:pPr>
      <w:r w:rsidRPr="00AA31AF">
        <w:rPr>
          <w:sz w:val="22"/>
          <w:szCs w:val="22"/>
          <w:lang w:bidi="ar-EG"/>
        </w:rPr>
        <w:t xml:space="preserve">Lebih lanjut ia menambahkan wanita yang haram dinikahkan karena mengumpulkan atau </w:t>
      </w:r>
      <w:r w:rsidR="00A25E80">
        <w:rPr>
          <w:sz w:val="22"/>
          <w:szCs w:val="22"/>
          <w:lang w:val="id-ID" w:bidi="ar-EG"/>
        </w:rPr>
        <w:t xml:space="preserve"> </w:t>
      </w:r>
      <w:r w:rsidRPr="00AA31AF">
        <w:rPr>
          <w:i/>
          <w:sz w:val="22"/>
          <w:szCs w:val="22"/>
          <w:lang w:bidi="ar-EG"/>
        </w:rPr>
        <w:t>haram lil jam’i</w:t>
      </w:r>
      <w:r w:rsidRPr="00AA31AF">
        <w:rPr>
          <w:sz w:val="22"/>
          <w:szCs w:val="22"/>
          <w:lang w:bidi="ar-EG"/>
        </w:rPr>
        <w:t>, yaitu:</w:t>
      </w:r>
      <w:r w:rsidRPr="00AA31AF">
        <w:rPr>
          <w:sz w:val="22"/>
          <w:szCs w:val="22"/>
          <w:lang w:val="id-ID" w:bidi="ar-EG"/>
        </w:rPr>
        <w:t xml:space="preserve"> </w:t>
      </w:r>
      <w:r w:rsidRPr="00ED56F8">
        <w:rPr>
          <w:rtl/>
          <w:lang w:bidi="ar-EG"/>
        </w:rPr>
        <w:t>واما للجمع بين المرء و أمها أو أختها أوعمتها أو خالتها وبين اكثر من ار بع له</w:t>
      </w:r>
      <w:r w:rsidRPr="00AA31AF">
        <w:rPr>
          <w:rStyle w:val="FootnoteReference"/>
          <w:sz w:val="22"/>
          <w:szCs w:val="22"/>
          <w:rtl/>
          <w:lang w:bidi="ar-EG"/>
        </w:rPr>
        <w:footnoteReference w:id="34"/>
      </w:r>
    </w:p>
    <w:p w:rsidR="00AA31AF" w:rsidRPr="00AA31AF" w:rsidRDefault="00AA31AF" w:rsidP="00E31CFC">
      <w:pPr>
        <w:spacing w:line="360" w:lineRule="auto"/>
        <w:ind w:left="993" w:hanging="993"/>
        <w:jc w:val="both"/>
        <w:rPr>
          <w:i/>
          <w:iCs/>
          <w:sz w:val="22"/>
          <w:szCs w:val="22"/>
          <w:lang w:bidi="ar-EG"/>
        </w:rPr>
      </w:pPr>
      <w:r w:rsidRPr="00AA31AF">
        <w:rPr>
          <w:sz w:val="22"/>
          <w:szCs w:val="22"/>
          <w:lang w:bidi="ar-EG"/>
        </w:rPr>
        <w:t>Artinya: “Dan terkadang penyebab keharaman itu karena mengumpulkan seorang perempuan dengan ibunya, dengan saudari kandungnya, dengan bundenya, dengan makciknya, dan seorang perempuan bagi orang yang telah mempunyai empat orang istri.”</w:t>
      </w:r>
    </w:p>
    <w:p w:rsidR="00AA31AF" w:rsidRPr="00AA31AF" w:rsidRDefault="00AA31AF" w:rsidP="00E31CFC">
      <w:pPr>
        <w:spacing w:line="360" w:lineRule="auto"/>
        <w:ind w:firstLine="714"/>
        <w:jc w:val="both"/>
        <w:rPr>
          <w:sz w:val="22"/>
          <w:szCs w:val="22"/>
          <w:lang w:eastAsia="en-GB"/>
        </w:rPr>
      </w:pPr>
      <w:bookmarkStart w:id="0" w:name="_GoBack"/>
      <w:bookmarkEnd w:id="0"/>
      <w:r w:rsidRPr="00AA31AF">
        <w:rPr>
          <w:sz w:val="22"/>
          <w:szCs w:val="22"/>
          <w:lang w:eastAsia="en-GB"/>
        </w:rPr>
        <w:t>Sedangkan peraturan perundang-undangan yang mengatur tentang para pihak yang haram dikawinkan antara lain terdapat di dalam pasal pasal 8 Undang-Undang Nomor 1 Tahun 1974 dan pasal 39 Instruksi Presiden Nomor 1 Tahun 1991 tentang Kompilasi Hukum Islam.</w:t>
      </w:r>
    </w:p>
    <w:p w:rsidR="00AA31AF" w:rsidRPr="00AA31AF" w:rsidRDefault="00AA31AF" w:rsidP="00E31CFC">
      <w:pPr>
        <w:spacing w:line="360" w:lineRule="auto"/>
        <w:ind w:firstLine="714"/>
        <w:jc w:val="both"/>
        <w:rPr>
          <w:sz w:val="22"/>
          <w:szCs w:val="22"/>
          <w:lang w:eastAsia="en-GB"/>
        </w:rPr>
      </w:pPr>
      <w:r w:rsidRPr="00AA31AF">
        <w:rPr>
          <w:sz w:val="22"/>
          <w:szCs w:val="22"/>
          <w:lang w:eastAsia="en-GB"/>
        </w:rPr>
        <w:t>Di dalam pasal 8 Undang-Undang Nomor 1 Tahun 1974 dijelaskan, perkawinan dilarang antara dua orang yang:</w:t>
      </w:r>
    </w:p>
    <w:p w:rsidR="00AA31AF" w:rsidRPr="00AA31AF" w:rsidRDefault="00AA31AF" w:rsidP="00E31CFC">
      <w:pPr>
        <w:pStyle w:val="ListParagraph"/>
        <w:numPr>
          <w:ilvl w:val="0"/>
          <w:numId w:val="8"/>
        </w:numPr>
        <w:spacing w:after="0" w:line="360" w:lineRule="auto"/>
        <w:ind w:left="426" w:hanging="426"/>
        <w:jc w:val="both"/>
        <w:rPr>
          <w:rFonts w:ascii="Times New Roman" w:hAnsi="Times New Roman"/>
          <w:lang w:eastAsia="en-GB"/>
        </w:rPr>
      </w:pPr>
      <w:r w:rsidRPr="00AA31AF">
        <w:rPr>
          <w:rFonts w:ascii="Times New Roman" w:hAnsi="Times New Roman"/>
          <w:lang w:eastAsia="en-GB"/>
        </w:rPr>
        <w:t>Berhubungan darah dalam garis keturunan lurus ke bawah maupun ke atas.</w:t>
      </w:r>
    </w:p>
    <w:p w:rsidR="00AA31AF" w:rsidRPr="00AA31AF" w:rsidRDefault="00AA31AF" w:rsidP="00E31CFC">
      <w:pPr>
        <w:pStyle w:val="ListParagraph"/>
        <w:numPr>
          <w:ilvl w:val="0"/>
          <w:numId w:val="8"/>
        </w:numPr>
        <w:spacing w:after="0" w:line="360" w:lineRule="auto"/>
        <w:ind w:left="426" w:hanging="426"/>
        <w:jc w:val="both"/>
        <w:rPr>
          <w:rFonts w:ascii="Times New Roman" w:hAnsi="Times New Roman"/>
          <w:lang w:eastAsia="en-GB"/>
        </w:rPr>
      </w:pPr>
      <w:r w:rsidRPr="00AA31AF">
        <w:rPr>
          <w:rFonts w:ascii="Times New Roman" w:hAnsi="Times New Roman"/>
          <w:lang w:eastAsia="en-GB"/>
        </w:rPr>
        <w:lastRenderedPageBreak/>
        <w:t>Berhubungan darah dalam garis keturunan menyamping yaitu antara saudara, antara seorang dengan saudara orang tua dan antara seorang dengan saudara neneknya.</w:t>
      </w:r>
    </w:p>
    <w:p w:rsidR="00AA31AF" w:rsidRPr="00AA31AF" w:rsidRDefault="00AA31AF" w:rsidP="00E31CFC">
      <w:pPr>
        <w:pStyle w:val="ListParagraph"/>
        <w:numPr>
          <w:ilvl w:val="0"/>
          <w:numId w:val="8"/>
        </w:numPr>
        <w:spacing w:after="0" w:line="360" w:lineRule="auto"/>
        <w:ind w:left="426" w:hanging="426"/>
        <w:jc w:val="both"/>
        <w:rPr>
          <w:rFonts w:ascii="Times New Roman" w:hAnsi="Times New Roman"/>
          <w:lang w:eastAsia="en-GB"/>
        </w:rPr>
      </w:pPr>
      <w:r w:rsidRPr="00AA31AF">
        <w:rPr>
          <w:rFonts w:ascii="Times New Roman" w:hAnsi="Times New Roman"/>
          <w:lang w:eastAsia="en-GB"/>
        </w:rPr>
        <w:t>Berhubungan semenda, yaitu mertua, anak tiri, menantu dan ibu/bapak tiri.</w:t>
      </w:r>
    </w:p>
    <w:p w:rsidR="00AA31AF" w:rsidRPr="00AA31AF" w:rsidRDefault="00AA31AF" w:rsidP="00E31CFC">
      <w:pPr>
        <w:pStyle w:val="ListParagraph"/>
        <w:numPr>
          <w:ilvl w:val="0"/>
          <w:numId w:val="8"/>
        </w:numPr>
        <w:spacing w:after="0" w:line="360" w:lineRule="auto"/>
        <w:ind w:left="426" w:hanging="426"/>
        <w:jc w:val="both"/>
        <w:rPr>
          <w:rFonts w:ascii="Times New Roman" w:hAnsi="Times New Roman"/>
          <w:lang w:eastAsia="en-GB"/>
        </w:rPr>
      </w:pPr>
      <w:r w:rsidRPr="00AA31AF">
        <w:rPr>
          <w:rFonts w:ascii="Times New Roman" w:hAnsi="Times New Roman"/>
          <w:lang w:eastAsia="en-GB"/>
        </w:rPr>
        <w:t>Berhubungan susuan, yaitu orang tua susuan, anak susuan, saudara susuan dan bibi atau paman susuan.</w:t>
      </w:r>
    </w:p>
    <w:p w:rsidR="00AA31AF" w:rsidRPr="00AA31AF" w:rsidRDefault="00AA31AF" w:rsidP="00E31CFC">
      <w:pPr>
        <w:pStyle w:val="ListParagraph"/>
        <w:numPr>
          <w:ilvl w:val="0"/>
          <w:numId w:val="8"/>
        </w:numPr>
        <w:spacing w:after="0" w:line="360" w:lineRule="auto"/>
        <w:ind w:left="426" w:hanging="426"/>
        <w:jc w:val="both"/>
        <w:rPr>
          <w:rFonts w:ascii="Times New Roman" w:hAnsi="Times New Roman"/>
          <w:lang w:eastAsia="en-GB"/>
        </w:rPr>
      </w:pPr>
      <w:r w:rsidRPr="00AA31AF">
        <w:rPr>
          <w:rFonts w:ascii="Times New Roman" w:hAnsi="Times New Roman"/>
          <w:lang w:eastAsia="en-GB"/>
        </w:rPr>
        <w:t>Berhubungan saudara denan isteri atau sebagai bibi atau kemenakan dari isteri, dalam hal seorang suami beristeri lebih dari seorang.</w:t>
      </w:r>
    </w:p>
    <w:p w:rsidR="00AA31AF" w:rsidRPr="00AA31AF" w:rsidRDefault="00AA31AF" w:rsidP="00E31CFC">
      <w:pPr>
        <w:pStyle w:val="ListParagraph"/>
        <w:numPr>
          <w:ilvl w:val="0"/>
          <w:numId w:val="8"/>
        </w:numPr>
        <w:spacing w:after="0" w:line="360" w:lineRule="auto"/>
        <w:ind w:left="426" w:hanging="426"/>
        <w:jc w:val="both"/>
        <w:rPr>
          <w:rFonts w:ascii="Times New Roman" w:hAnsi="Times New Roman"/>
          <w:lang w:eastAsia="en-GB"/>
        </w:rPr>
      </w:pPr>
      <w:r w:rsidRPr="00AA31AF">
        <w:rPr>
          <w:rFonts w:ascii="Times New Roman" w:hAnsi="Times New Roman"/>
          <w:lang w:eastAsia="en-GB"/>
        </w:rPr>
        <w:t>Mempunyai hubungan yang oleh agamanya atau peraturan lain yang berlaku, dilarang kawin.</w:t>
      </w:r>
    </w:p>
    <w:p w:rsidR="00AA31AF" w:rsidRPr="00AA31AF" w:rsidRDefault="00AA31AF" w:rsidP="00E31CFC">
      <w:pPr>
        <w:pStyle w:val="ListParagraph"/>
        <w:spacing w:after="0" w:line="360" w:lineRule="auto"/>
        <w:ind w:left="0" w:firstLine="567"/>
        <w:jc w:val="both"/>
        <w:rPr>
          <w:rFonts w:ascii="Times New Roman" w:hAnsi="Times New Roman"/>
          <w:lang w:eastAsia="en-GB"/>
        </w:rPr>
      </w:pPr>
      <w:r w:rsidRPr="00AA31AF">
        <w:rPr>
          <w:rFonts w:ascii="Times New Roman" w:hAnsi="Times New Roman"/>
          <w:lang w:eastAsia="en-GB"/>
        </w:rPr>
        <w:t>Selain Undang-Undang Nomor 1 Tahun 1974 tentang perkawinan, didalam Kompilasi Hukum Islam juga di jelaskan pada pasal 39 tentang larangan perkawinan, yaitu sebagai berikut: dilarang melangsungkan perkawinan antara seorang pria dengan seorang wanita disebabkan:</w:t>
      </w:r>
    </w:p>
    <w:p w:rsidR="00AA31AF" w:rsidRPr="00AA31AF" w:rsidRDefault="00AA31AF" w:rsidP="00E31CFC">
      <w:pPr>
        <w:pStyle w:val="ListParagraph"/>
        <w:numPr>
          <w:ilvl w:val="0"/>
          <w:numId w:val="9"/>
        </w:numPr>
        <w:spacing w:after="0" w:line="360" w:lineRule="auto"/>
        <w:ind w:left="426" w:hanging="426"/>
        <w:jc w:val="both"/>
        <w:rPr>
          <w:rFonts w:ascii="Times New Roman" w:hAnsi="Times New Roman"/>
          <w:lang w:eastAsia="en-GB"/>
        </w:rPr>
      </w:pPr>
      <w:r w:rsidRPr="00AA31AF">
        <w:rPr>
          <w:rFonts w:ascii="Times New Roman" w:hAnsi="Times New Roman"/>
          <w:lang w:eastAsia="en-GB"/>
        </w:rPr>
        <w:t>Karena pertalian nasab:</w:t>
      </w:r>
    </w:p>
    <w:p w:rsidR="00AA31AF" w:rsidRPr="00AA31AF" w:rsidRDefault="00AA31AF" w:rsidP="00E31CFC">
      <w:pPr>
        <w:pStyle w:val="ListParagraph"/>
        <w:numPr>
          <w:ilvl w:val="0"/>
          <w:numId w:val="10"/>
        </w:numPr>
        <w:spacing w:after="0" w:line="360" w:lineRule="auto"/>
        <w:ind w:hanging="294"/>
        <w:jc w:val="both"/>
        <w:rPr>
          <w:rFonts w:ascii="Times New Roman" w:hAnsi="Times New Roman"/>
          <w:lang w:eastAsia="en-GB"/>
        </w:rPr>
      </w:pPr>
      <w:r w:rsidRPr="00AA31AF">
        <w:rPr>
          <w:rFonts w:ascii="Times New Roman" w:hAnsi="Times New Roman"/>
          <w:lang w:eastAsia="en-GB"/>
        </w:rPr>
        <w:t>Dengan seorang wanita yang melahirkan atau yang menurunkannya atau keturunannya.</w:t>
      </w:r>
    </w:p>
    <w:p w:rsidR="00AA31AF" w:rsidRPr="00AA31AF" w:rsidRDefault="00AA31AF" w:rsidP="00E31CFC">
      <w:pPr>
        <w:pStyle w:val="ListParagraph"/>
        <w:numPr>
          <w:ilvl w:val="0"/>
          <w:numId w:val="10"/>
        </w:numPr>
        <w:spacing w:after="0" w:line="360" w:lineRule="auto"/>
        <w:jc w:val="both"/>
        <w:rPr>
          <w:rFonts w:ascii="Times New Roman" w:hAnsi="Times New Roman"/>
          <w:lang w:eastAsia="en-GB"/>
        </w:rPr>
      </w:pPr>
      <w:r w:rsidRPr="00AA31AF">
        <w:rPr>
          <w:rFonts w:ascii="Times New Roman" w:hAnsi="Times New Roman"/>
          <w:lang w:eastAsia="en-GB"/>
        </w:rPr>
        <w:t>Dengan seorang wanita keturunan ayah atau ibu.</w:t>
      </w:r>
    </w:p>
    <w:p w:rsidR="00AA31AF" w:rsidRPr="00AA31AF" w:rsidRDefault="00AA31AF" w:rsidP="00E31CFC">
      <w:pPr>
        <w:pStyle w:val="ListParagraph"/>
        <w:numPr>
          <w:ilvl w:val="0"/>
          <w:numId w:val="10"/>
        </w:numPr>
        <w:spacing w:after="0" w:line="360" w:lineRule="auto"/>
        <w:jc w:val="both"/>
        <w:rPr>
          <w:rFonts w:ascii="Times New Roman" w:hAnsi="Times New Roman"/>
          <w:lang w:eastAsia="en-GB"/>
        </w:rPr>
      </w:pPr>
      <w:r w:rsidRPr="00AA31AF">
        <w:rPr>
          <w:rFonts w:ascii="Times New Roman" w:hAnsi="Times New Roman"/>
          <w:lang w:eastAsia="en-GB"/>
        </w:rPr>
        <w:t>Dengan seorang wanita saudara yang melahirkannya.</w:t>
      </w:r>
    </w:p>
    <w:p w:rsidR="00AA31AF" w:rsidRPr="00AA31AF" w:rsidRDefault="00AA31AF" w:rsidP="00E31CFC">
      <w:pPr>
        <w:pStyle w:val="ListParagraph"/>
        <w:numPr>
          <w:ilvl w:val="0"/>
          <w:numId w:val="9"/>
        </w:numPr>
        <w:spacing w:after="0" w:line="360" w:lineRule="auto"/>
        <w:ind w:left="426" w:hanging="426"/>
        <w:jc w:val="both"/>
        <w:rPr>
          <w:rFonts w:ascii="Times New Roman" w:hAnsi="Times New Roman"/>
          <w:lang w:eastAsia="en-GB"/>
        </w:rPr>
      </w:pPr>
      <w:r w:rsidRPr="00AA31AF">
        <w:rPr>
          <w:rFonts w:ascii="Times New Roman" w:hAnsi="Times New Roman"/>
          <w:lang w:eastAsia="en-GB"/>
        </w:rPr>
        <w:t>Karena pertalian kerabat semenda:</w:t>
      </w:r>
    </w:p>
    <w:p w:rsidR="00AA31AF" w:rsidRPr="00AA31AF" w:rsidRDefault="00AA31AF" w:rsidP="00E31CFC">
      <w:pPr>
        <w:pStyle w:val="ListParagraph"/>
        <w:numPr>
          <w:ilvl w:val="0"/>
          <w:numId w:val="11"/>
        </w:numPr>
        <w:spacing w:after="0" w:line="360" w:lineRule="auto"/>
        <w:ind w:left="709" w:hanging="283"/>
        <w:jc w:val="both"/>
        <w:rPr>
          <w:rFonts w:ascii="Times New Roman" w:hAnsi="Times New Roman"/>
          <w:lang w:eastAsia="en-GB"/>
        </w:rPr>
      </w:pPr>
      <w:r w:rsidRPr="00AA31AF">
        <w:rPr>
          <w:rFonts w:ascii="Times New Roman" w:hAnsi="Times New Roman"/>
          <w:lang w:eastAsia="en-GB"/>
        </w:rPr>
        <w:t>Dengan seorang wanita yang melahirkan isterinya atau bekas isterinya.</w:t>
      </w:r>
    </w:p>
    <w:p w:rsidR="00AA31AF" w:rsidRPr="00AA31AF" w:rsidRDefault="00AA31AF" w:rsidP="00E31CFC">
      <w:pPr>
        <w:pStyle w:val="ListParagraph"/>
        <w:numPr>
          <w:ilvl w:val="0"/>
          <w:numId w:val="11"/>
        </w:numPr>
        <w:spacing w:after="0" w:line="360" w:lineRule="auto"/>
        <w:ind w:left="709" w:hanging="283"/>
        <w:jc w:val="both"/>
        <w:rPr>
          <w:rFonts w:ascii="Times New Roman" w:hAnsi="Times New Roman"/>
          <w:lang w:eastAsia="en-GB"/>
        </w:rPr>
      </w:pPr>
      <w:r w:rsidRPr="00AA31AF">
        <w:rPr>
          <w:rFonts w:ascii="Times New Roman" w:hAnsi="Times New Roman"/>
          <w:lang w:eastAsia="en-GB"/>
        </w:rPr>
        <w:t>Dengan seorang wanita bekas isteri yang menurunkannya.</w:t>
      </w:r>
    </w:p>
    <w:p w:rsidR="00AA31AF" w:rsidRPr="00AA31AF" w:rsidRDefault="00AA31AF" w:rsidP="00E31CFC">
      <w:pPr>
        <w:pStyle w:val="ListParagraph"/>
        <w:numPr>
          <w:ilvl w:val="0"/>
          <w:numId w:val="11"/>
        </w:numPr>
        <w:spacing w:after="0" w:line="360" w:lineRule="auto"/>
        <w:ind w:left="709" w:hanging="283"/>
        <w:jc w:val="both"/>
        <w:rPr>
          <w:rFonts w:ascii="Times New Roman" w:hAnsi="Times New Roman"/>
          <w:lang w:eastAsia="en-GB"/>
        </w:rPr>
      </w:pPr>
      <w:r w:rsidRPr="00AA31AF">
        <w:rPr>
          <w:rFonts w:ascii="Times New Roman" w:hAnsi="Times New Roman"/>
          <w:lang w:eastAsia="en-GB"/>
        </w:rPr>
        <w:t xml:space="preserve">Dengan seorang wanita keturunan isteri atau bekas isterinya, kecuali putusnya hubungan perkawinan dengan bekas isterinya itu </w:t>
      </w:r>
      <w:r w:rsidRPr="00AA31AF">
        <w:rPr>
          <w:rFonts w:ascii="Times New Roman" w:hAnsi="Times New Roman"/>
          <w:i/>
          <w:lang w:eastAsia="en-GB"/>
        </w:rPr>
        <w:t>qobla al dukhul</w:t>
      </w:r>
      <w:r w:rsidRPr="00AA31AF">
        <w:rPr>
          <w:rFonts w:ascii="Times New Roman" w:hAnsi="Times New Roman"/>
          <w:lang w:eastAsia="en-GB"/>
        </w:rPr>
        <w:t>.</w:t>
      </w:r>
    </w:p>
    <w:p w:rsidR="00AA31AF" w:rsidRPr="00AA31AF" w:rsidRDefault="00AA31AF" w:rsidP="00E31CFC">
      <w:pPr>
        <w:pStyle w:val="ListParagraph"/>
        <w:numPr>
          <w:ilvl w:val="0"/>
          <w:numId w:val="11"/>
        </w:numPr>
        <w:spacing w:after="0" w:line="360" w:lineRule="auto"/>
        <w:ind w:left="709" w:hanging="283"/>
        <w:jc w:val="both"/>
        <w:rPr>
          <w:rFonts w:ascii="Times New Roman" w:hAnsi="Times New Roman"/>
          <w:lang w:eastAsia="en-GB"/>
        </w:rPr>
      </w:pPr>
      <w:r w:rsidRPr="00AA31AF">
        <w:rPr>
          <w:rFonts w:ascii="Times New Roman" w:hAnsi="Times New Roman"/>
          <w:lang w:eastAsia="en-GB"/>
        </w:rPr>
        <w:t>Dengan seorang wanita bekas isteri keturunannya.</w:t>
      </w:r>
    </w:p>
    <w:p w:rsidR="00AA31AF" w:rsidRPr="00AA31AF" w:rsidRDefault="00AA31AF" w:rsidP="00E31CFC">
      <w:pPr>
        <w:pStyle w:val="ListParagraph"/>
        <w:numPr>
          <w:ilvl w:val="0"/>
          <w:numId w:val="9"/>
        </w:numPr>
        <w:spacing w:after="0" w:line="360" w:lineRule="auto"/>
        <w:ind w:left="426" w:hanging="426"/>
        <w:jc w:val="both"/>
        <w:rPr>
          <w:rFonts w:ascii="Times New Roman" w:hAnsi="Times New Roman"/>
          <w:lang w:eastAsia="en-GB"/>
        </w:rPr>
      </w:pPr>
      <w:r w:rsidRPr="00AA31AF">
        <w:rPr>
          <w:rFonts w:ascii="Times New Roman" w:hAnsi="Times New Roman"/>
          <w:lang w:eastAsia="en-GB"/>
        </w:rPr>
        <w:t>Karena pertalian sesusuan:</w:t>
      </w:r>
    </w:p>
    <w:p w:rsidR="00AA31AF" w:rsidRPr="00AA31AF" w:rsidRDefault="00AA31AF" w:rsidP="00E31CFC">
      <w:pPr>
        <w:pStyle w:val="ListParagraph"/>
        <w:numPr>
          <w:ilvl w:val="0"/>
          <w:numId w:val="12"/>
        </w:numPr>
        <w:spacing w:after="0" w:line="360" w:lineRule="auto"/>
        <w:ind w:left="709" w:hanging="283"/>
        <w:jc w:val="both"/>
        <w:rPr>
          <w:rFonts w:ascii="Times New Roman" w:hAnsi="Times New Roman"/>
          <w:lang w:eastAsia="en-GB"/>
        </w:rPr>
      </w:pPr>
      <w:r w:rsidRPr="00AA31AF">
        <w:rPr>
          <w:rFonts w:ascii="Times New Roman" w:hAnsi="Times New Roman"/>
          <w:lang w:eastAsia="en-GB"/>
        </w:rPr>
        <w:t>Dengan wanita yang menyusuinya dan seterusnya menurut garislurus ke bawah.</w:t>
      </w:r>
    </w:p>
    <w:p w:rsidR="00AA31AF" w:rsidRPr="00AA31AF" w:rsidRDefault="00AA31AF" w:rsidP="00E31CFC">
      <w:pPr>
        <w:pStyle w:val="ListParagraph"/>
        <w:numPr>
          <w:ilvl w:val="0"/>
          <w:numId w:val="12"/>
        </w:numPr>
        <w:spacing w:after="0" w:line="360" w:lineRule="auto"/>
        <w:ind w:left="709" w:hanging="283"/>
        <w:jc w:val="both"/>
        <w:rPr>
          <w:rFonts w:ascii="Times New Roman" w:hAnsi="Times New Roman"/>
          <w:lang w:eastAsia="en-GB"/>
        </w:rPr>
      </w:pPr>
      <w:r w:rsidRPr="00AA31AF">
        <w:rPr>
          <w:rFonts w:ascii="Times New Roman" w:hAnsi="Times New Roman"/>
          <w:lang w:eastAsia="en-GB"/>
        </w:rPr>
        <w:t>Dengan seorang wanita sesusuan dan seterusnya menurut garis lurus ke bawah.</w:t>
      </w:r>
    </w:p>
    <w:p w:rsidR="00AA31AF" w:rsidRPr="00AA31AF" w:rsidRDefault="00AA31AF" w:rsidP="00E31CFC">
      <w:pPr>
        <w:pStyle w:val="ListParagraph"/>
        <w:numPr>
          <w:ilvl w:val="0"/>
          <w:numId w:val="12"/>
        </w:numPr>
        <w:spacing w:after="0" w:line="360" w:lineRule="auto"/>
        <w:ind w:left="709" w:hanging="283"/>
        <w:jc w:val="both"/>
        <w:rPr>
          <w:rFonts w:ascii="Times New Roman" w:hAnsi="Times New Roman"/>
          <w:lang w:eastAsia="en-GB"/>
        </w:rPr>
      </w:pPr>
      <w:r w:rsidRPr="00AA31AF">
        <w:rPr>
          <w:rFonts w:ascii="Times New Roman" w:hAnsi="Times New Roman"/>
          <w:lang w:eastAsia="en-GB"/>
        </w:rPr>
        <w:t>Dengan seorang wanita saudara sesusuan, dan kemenakan sesusuan ke bawah.</w:t>
      </w:r>
    </w:p>
    <w:p w:rsidR="00ED56F8" w:rsidRDefault="00AA31AF" w:rsidP="00E31CFC">
      <w:pPr>
        <w:pStyle w:val="ListParagraph"/>
        <w:numPr>
          <w:ilvl w:val="0"/>
          <w:numId w:val="12"/>
        </w:numPr>
        <w:spacing w:after="0" w:line="360" w:lineRule="auto"/>
        <w:ind w:left="709" w:hanging="283"/>
        <w:jc w:val="both"/>
        <w:rPr>
          <w:rFonts w:ascii="Times New Roman" w:hAnsi="Times New Roman"/>
          <w:lang w:eastAsia="en-GB"/>
        </w:rPr>
      </w:pPr>
      <w:r w:rsidRPr="00AA31AF">
        <w:rPr>
          <w:rFonts w:ascii="Times New Roman" w:hAnsi="Times New Roman"/>
          <w:lang w:eastAsia="en-GB"/>
        </w:rPr>
        <w:t>Dengan seorang wanita bibi sesusuan dan nenek bibi sesusuan ke atas.</w:t>
      </w:r>
    </w:p>
    <w:p w:rsidR="00AA31AF" w:rsidRPr="00ED56F8" w:rsidRDefault="00AA31AF" w:rsidP="00E31CFC">
      <w:pPr>
        <w:pStyle w:val="ListParagraph"/>
        <w:numPr>
          <w:ilvl w:val="0"/>
          <w:numId w:val="12"/>
        </w:numPr>
        <w:spacing w:after="0" w:line="360" w:lineRule="auto"/>
        <w:ind w:left="709" w:hanging="283"/>
        <w:jc w:val="both"/>
        <w:rPr>
          <w:rFonts w:ascii="Times New Roman" w:hAnsi="Times New Roman"/>
          <w:lang w:eastAsia="en-GB"/>
        </w:rPr>
      </w:pPr>
      <w:r w:rsidRPr="00ED56F8">
        <w:rPr>
          <w:rFonts w:ascii="Times New Roman" w:hAnsi="Times New Roman"/>
          <w:lang w:eastAsia="en-GB"/>
        </w:rPr>
        <w:t xml:space="preserve">Dengan anak yang disusui oeh isterinya dan keturunannya. </w:t>
      </w:r>
    </w:p>
    <w:p w:rsidR="00A25E80" w:rsidRDefault="00A25E80" w:rsidP="00E31CFC">
      <w:pPr>
        <w:pStyle w:val="Heading1"/>
        <w:spacing w:before="0" w:after="0" w:line="360" w:lineRule="auto"/>
        <w:ind w:left="0"/>
        <w:jc w:val="both"/>
        <w:rPr>
          <w:rFonts w:ascii="Times New Roman" w:hAnsi="Times New Roman"/>
          <w:sz w:val="22"/>
          <w:szCs w:val="22"/>
        </w:rPr>
      </w:pPr>
    </w:p>
    <w:p w:rsidR="00AA31AF" w:rsidRPr="00AA31AF" w:rsidRDefault="00A25E80" w:rsidP="00E31CFC">
      <w:pPr>
        <w:pStyle w:val="Heading1"/>
        <w:spacing w:before="0" w:after="0" w:line="360" w:lineRule="auto"/>
        <w:ind w:left="0"/>
        <w:jc w:val="both"/>
        <w:rPr>
          <w:rFonts w:ascii="Times New Roman" w:hAnsi="Times New Roman"/>
          <w:sz w:val="22"/>
          <w:szCs w:val="22"/>
        </w:rPr>
      </w:pPr>
      <w:r>
        <w:rPr>
          <w:rFonts w:ascii="Times New Roman" w:hAnsi="Times New Roman"/>
          <w:sz w:val="22"/>
          <w:szCs w:val="22"/>
        </w:rPr>
        <w:t xml:space="preserve">Penutup </w:t>
      </w:r>
      <w:r w:rsidR="00AA31AF" w:rsidRPr="00AA31AF">
        <w:rPr>
          <w:rFonts w:ascii="Times New Roman" w:hAnsi="Times New Roman"/>
          <w:sz w:val="22"/>
          <w:szCs w:val="22"/>
        </w:rPr>
        <w:t xml:space="preserve"> </w:t>
      </w:r>
    </w:p>
    <w:p w:rsidR="00AA31AF" w:rsidRPr="00AA31AF" w:rsidRDefault="00AA31AF" w:rsidP="00E31CFC">
      <w:pPr>
        <w:pStyle w:val="Heading1"/>
        <w:spacing w:before="0" w:after="0" w:line="360" w:lineRule="auto"/>
        <w:ind w:left="0" w:firstLine="720"/>
        <w:jc w:val="both"/>
        <w:rPr>
          <w:rFonts w:ascii="Times New Roman" w:hAnsi="Times New Roman"/>
          <w:b w:val="0"/>
          <w:sz w:val="22"/>
          <w:szCs w:val="22"/>
        </w:rPr>
      </w:pPr>
      <w:r w:rsidRPr="00AA31AF">
        <w:rPr>
          <w:rFonts w:ascii="Times New Roman" w:hAnsi="Times New Roman"/>
          <w:b w:val="0"/>
          <w:sz w:val="22"/>
          <w:szCs w:val="22"/>
        </w:rPr>
        <w:t xml:space="preserve">Demikian pengertian perkawinan secara umum dalam berbagai perspektif serta pendapat mengenai perkawinan dari para ulama mazhab dalam Islam. Berbagai </w:t>
      </w:r>
      <w:r w:rsidRPr="00AA31AF">
        <w:rPr>
          <w:rFonts w:ascii="Times New Roman" w:hAnsi="Times New Roman"/>
          <w:b w:val="0"/>
          <w:sz w:val="22"/>
          <w:szCs w:val="22"/>
        </w:rPr>
        <w:lastRenderedPageBreak/>
        <w:t xml:space="preserve">pengertian dan pendapat tentang perkawinan tersebut hendaknya dapat menjadikan  konsep perkawinan agar tetap eksis sebagai landasan hukum dalam pelaksanaannya dan tentu saja membawa pengaruh dalam pembuatan undang-undang di Indonesia. </w:t>
      </w:r>
    </w:p>
    <w:p w:rsidR="00AA31AF" w:rsidRPr="00AA31AF" w:rsidRDefault="00AA31AF" w:rsidP="00E31CFC">
      <w:pPr>
        <w:spacing w:line="360" w:lineRule="auto"/>
        <w:jc w:val="both"/>
        <w:rPr>
          <w:b/>
          <w:color w:val="000000"/>
          <w:sz w:val="22"/>
          <w:szCs w:val="22"/>
        </w:rPr>
      </w:pPr>
    </w:p>
    <w:p w:rsidR="00AA31AF" w:rsidRDefault="00A25E80" w:rsidP="00E31CFC">
      <w:pPr>
        <w:spacing w:line="360" w:lineRule="auto"/>
        <w:jc w:val="both"/>
        <w:rPr>
          <w:b/>
          <w:color w:val="000000"/>
          <w:sz w:val="22"/>
          <w:szCs w:val="22"/>
          <w:lang w:val="id-ID"/>
        </w:rPr>
      </w:pPr>
      <w:r>
        <w:rPr>
          <w:b/>
          <w:color w:val="000000"/>
          <w:sz w:val="22"/>
          <w:szCs w:val="22"/>
          <w:lang w:val="id-ID"/>
        </w:rPr>
        <w:t>Pustaka Acuan</w:t>
      </w:r>
    </w:p>
    <w:p w:rsidR="00AA31AF" w:rsidRDefault="00AA31AF" w:rsidP="00E811F0">
      <w:pPr>
        <w:pStyle w:val="FootnoteText"/>
        <w:spacing w:line="360" w:lineRule="auto"/>
        <w:ind w:left="709" w:hanging="709"/>
        <w:jc w:val="both"/>
        <w:rPr>
          <w:rFonts w:ascii="Times New Roman" w:hAnsi="Times New Roman"/>
          <w:color w:val="000000"/>
          <w:sz w:val="22"/>
          <w:szCs w:val="22"/>
        </w:rPr>
      </w:pPr>
      <w:r w:rsidRPr="00AA31AF">
        <w:rPr>
          <w:rFonts w:ascii="Times New Roman" w:hAnsi="Times New Roman"/>
          <w:color w:val="000000"/>
          <w:sz w:val="22"/>
          <w:szCs w:val="22"/>
        </w:rPr>
        <w:t xml:space="preserve">Al-Gazali, </w:t>
      </w:r>
      <w:r w:rsidRPr="00AA31AF">
        <w:rPr>
          <w:rFonts w:ascii="Times New Roman" w:hAnsi="Times New Roman"/>
          <w:i/>
          <w:iCs/>
          <w:color w:val="000000"/>
          <w:sz w:val="22"/>
          <w:szCs w:val="22"/>
        </w:rPr>
        <w:t xml:space="preserve">Ihya Ulumiddin, </w:t>
      </w:r>
      <w:r w:rsidRPr="00AA31AF">
        <w:rPr>
          <w:rFonts w:ascii="Times New Roman" w:hAnsi="Times New Roman"/>
          <w:color w:val="000000"/>
          <w:sz w:val="22"/>
          <w:szCs w:val="22"/>
        </w:rPr>
        <w:t>Juz 2, Semarang: Karya Toha Putra, 2000.</w:t>
      </w:r>
    </w:p>
    <w:p w:rsidR="00AA31AF" w:rsidRDefault="00AA31AF" w:rsidP="00E811F0">
      <w:pPr>
        <w:pStyle w:val="FootnoteText"/>
        <w:spacing w:line="360" w:lineRule="auto"/>
        <w:ind w:left="709" w:hanging="709"/>
        <w:jc w:val="both"/>
        <w:rPr>
          <w:rFonts w:ascii="Times New Roman" w:hAnsi="Times New Roman"/>
          <w:color w:val="000000"/>
          <w:sz w:val="22"/>
          <w:szCs w:val="22"/>
        </w:rPr>
      </w:pPr>
      <w:r w:rsidRPr="00AA31AF">
        <w:rPr>
          <w:rFonts w:ascii="Times New Roman" w:hAnsi="Times New Roman"/>
          <w:color w:val="000000"/>
          <w:sz w:val="22"/>
          <w:szCs w:val="22"/>
        </w:rPr>
        <w:t xml:space="preserve">Al-Jaziri, Abdurrahman, </w:t>
      </w:r>
      <w:r w:rsidRPr="00AA31AF">
        <w:rPr>
          <w:rFonts w:ascii="Times New Roman" w:hAnsi="Times New Roman"/>
          <w:i/>
          <w:iCs/>
          <w:color w:val="000000"/>
          <w:sz w:val="22"/>
          <w:szCs w:val="22"/>
        </w:rPr>
        <w:t xml:space="preserve">al- Fiqh alaMazahibul Arba’ah, Juz </w:t>
      </w:r>
      <w:r w:rsidRPr="00AA31AF">
        <w:rPr>
          <w:rFonts w:ascii="Times New Roman" w:hAnsi="Times New Roman"/>
          <w:color w:val="000000"/>
          <w:sz w:val="22"/>
          <w:szCs w:val="22"/>
        </w:rPr>
        <w:t>IV (Darul Ihya Att.hurasul ‘Arabi).</w:t>
      </w:r>
    </w:p>
    <w:p w:rsidR="00AA31AF" w:rsidRDefault="00AA31AF" w:rsidP="00E811F0">
      <w:pPr>
        <w:spacing w:line="360" w:lineRule="auto"/>
        <w:ind w:left="709" w:hanging="709"/>
        <w:jc w:val="both"/>
        <w:rPr>
          <w:color w:val="000000"/>
          <w:sz w:val="22"/>
          <w:szCs w:val="22"/>
          <w:lang w:val="id-ID"/>
        </w:rPr>
      </w:pPr>
      <w:r w:rsidRPr="00AA31AF">
        <w:rPr>
          <w:color w:val="000000"/>
          <w:sz w:val="22"/>
          <w:szCs w:val="22"/>
        </w:rPr>
        <w:t xml:space="preserve">Al-Ansori, Zakaria, </w:t>
      </w:r>
      <w:r w:rsidRPr="00AA31AF">
        <w:rPr>
          <w:i/>
          <w:iCs/>
          <w:color w:val="000000"/>
          <w:sz w:val="22"/>
          <w:szCs w:val="22"/>
        </w:rPr>
        <w:t>Syarqawi Ala At-Tahrir, Juz II</w:t>
      </w:r>
      <w:r w:rsidRPr="00AA31AF">
        <w:rPr>
          <w:color w:val="000000"/>
          <w:sz w:val="22"/>
          <w:szCs w:val="22"/>
        </w:rPr>
        <w:t>, Surabaya: Al-Hidayah, 2005.</w:t>
      </w:r>
    </w:p>
    <w:p w:rsidR="00AA31AF" w:rsidRDefault="00AA31AF" w:rsidP="00E811F0">
      <w:pPr>
        <w:pStyle w:val="ListParagraph"/>
        <w:spacing w:after="0" w:line="360" w:lineRule="auto"/>
        <w:ind w:left="709" w:hanging="709"/>
        <w:jc w:val="both"/>
        <w:rPr>
          <w:rFonts w:ascii="Times New Roman" w:hAnsi="Times New Roman"/>
          <w:bCs/>
          <w:color w:val="000000"/>
        </w:rPr>
      </w:pPr>
      <w:r w:rsidRPr="00AA31AF">
        <w:rPr>
          <w:rFonts w:ascii="Times New Roman" w:hAnsi="Times New Roman"/>
          <w:bCs/>
          <w:color w:val="000000"/>
        </w:rPr>
        <w:t xml:space="preserve">Ghazaly,  Abdul Rahman. </w:t>
      </w:r>
      <w:r w:rsidRPr="00AA31AF">
        <w:rPr>
          <w:rFonts w:ascii="Times New Roman" w:hAnsi="Times New Roman"/>
          <w:i/>
          <w:color w:val="000000"/>
        </w:rPr>
        <w:t>Fiqh Munakahat</w:t>
      </w:r>
      <w:r w:rsidRPr="00AA31AF">
        <w:rPr>
          <w:rFonts w:ascii="Times New Roman" w:hAnsi="Times New Roman"/>
          <w:color w:val="000000"/>
        </w:rPr>
        <w:t>,  Jakarta: Prenada Media, 2003.</w:t>
      </w:r>
      <w:r w:rsidRPr="00AA31AF">
        <w:rPr>
          <w:rFonts w:ascii="Times New Roman" w:hAnsi="Times New Roman"/>
          <w:bCs/>
          <w:color w:val="000000"/>
        </w:rPr>
        <w:t xml:space="preserve"> </w:t>
      </w:r>
    </w:p>
    <w:p w:rsidR="00AA31AF" w:rsidRDefault="00AA31AF" w:rsidP="00E811F0">
      <w:pPr>
        <w:autoSpaceDE w:val="0"/>
        <w:autoSpaceDN w:val="0"/>
        <w:adjustRightInd w:val="0"/>
        <w:spacing w:line="360" w:lineRule="auto"/>
        <w:ind w:left="709" w:hanging="709"/>
        <w:jc w:val="both"/>
        <w:rPr>
          <w:color w:val="000000"/>
          <w:sz w:val="22"/>
          <w:szCs w:val="22"/>
          <w:lang w:val="id-ID"/>
        </w:rPr>
      </w:pPr>
      <w:r w:rsidRPr="00AA31AF">
        <w:rPr>
          <w:color w:val="000000"/>
          <w:sz w:val="22"/>
          <w:szCs w:val="22"/>
        </w:rPr>
        <w:t xml:space="preserve">Muhammad, Kamil Uwaidah, </w:t>
      </w:r>
      <w:r w:rsidRPr="00AA31AF">
        <w:rPr>
          <w:i/>
          <w:iCs/>
          <w:color w:val="000000"/>
          <w:sz w:val="22"/>
          <w:szCs w:val="22"/>
        </w:rPr>
        <w:t>Fiqh Wanita</w:t>
      </w:r>
      <w:r w:rsidRPr="00AA31AF">
        <w:rPr>
          <w:color w:val="000000"/>
          <w:sz w:val="22"/>
          <w:szCs w:val="22"/>
        </w:rPr>
        <w:t>, Jakarta: Pustaka Al-Kautsar, 1998.</w:t>
      </w:r>
    </w:p>
    <w:p w:rsidR="00AA31AF" w:rsidRDefault="00AA31AF" w:rsidP="00E811F0">
      <w:pPr>
        <w:autoSpaceDE w:val="0"/>
        <w:autoSpaceDN w:val="0"/>
        <w:adjustRightInd w:val="0"/>
        <w:spacing w:line="360" w:lineRule="auto"/>
        <w:ind w:left="709" w:hanging="709"/>
        <w:jc w:val="both"/>
        <w:rPr>
          <w:color w:val="000000"/>
          <w:sz w:val="22"/>
          <w:szCs w:val="22"/>
          <w:lang w:val="id-ID"/>
        </w:rPr>
      </w:pPr>
      <w:r w:rsidRPr="00AA31AF">
        <w:rPr>
          <w:color w:val="000000"/>
          <w:sz w:val="22"/>
          <w:szCs w:val="22"/>
        </w:rPr>
        <w:t xml:space="preserve">Najmudin Amin al-Kurdi, </w:t>
      </w:r>
      <w:r w:rsidRPr="00AA31AF">
        <w:rPr>
          <w:i/>
          <w:iCs/>
          <w:color w:val="000000"/>
          <w:sz w:val="22"/>
          <w:szCs w:val="22"/>
        </w:rPr>
        <w:t>Tanwir al-Qulb</w:t>
      </w:r>
      <w:r w:rsidRPr="00AA31AF">
        <w:rPr>
          <w:color w:val="000000"/>
          <w:sz w:val="22"/>
          <w:szCs w:val="22"/>
        </w:rPr>
        <w:t>, Beirut Libanon: Dar Al –Fikr, 2010.</w:t>
      </w:r>
    </w:p>
    <w:p w:rsidR="00AA31AF" w:rsidRDefault="00AA31AF" w:rsidP="00E811F0">
      <w:pPr>
        <w:autoSpaceDE w:val="0"/>
        <w:autoSpaceDN w:val="0"/>
        <w:adjustRightInd w:val="0"/>
        <w:spacing w:line="360" w:lineRule="auto"/>
        <w:ind w:left="709" w:hanging="709"/>
        <w:jc w:val="both"/>
        <w:rPr>
          <w:color w:val="000000"/>
          <w:sz w:val="22"/>
          <w:szCs w:val="22"/>
          <w:lang w:val="id-ID"/>
        </w:rPr>
      </w:pPr>
      <w:r w:rsidRPr="00AA31AF">
        <w:rPr>
          <w:color w:val="000000"/>
          <w:sz w:val="22"/>
          <w:szCs w:val="22"/>
        </w:rPr>
        <w:t xml:space="preserve">Qudamah, Ibnu, </w:t>
      </w:r>
      <w:r w:rsidRPr="00AA31AF">
        <w:rPr>
          <w:i/>
          <w:iCs/>
          <w:color w:val="000000"/>
          <w:sz w:val="22"/>
          <w:szCs w:val="22"/>
        </w:rPr>
        <w:t xml:space="preserve">al-Mugni sarah al-Kabir, Juz VII </w:t>
      </w:r>
      <w:r w:rsidRPr="00AA31AF">
        <w:rPr>
          <w:color w:val="000000"/>
          <w:sz w:val="22"/>
          <w:szCs w:val="22"/>
        </w:rPr>
        <w:t>(Darul Fikri), 2007.</w:t>
      </w:r>
    </w:p>
    <w:p w:rsidR="00AA31AF" w:rsidRPr="00AA31AF" w:rsidRDefault="00AA31AF" w:rsidP="00E811F0">
      <w:pPr>
        <w:autoSpaceDE w:val="0"/>
        <w:autoSpaceDN w:val="0"/>
        <w:adjustRightInd w:val="0"/>
        <w:spacing w:line="360" w:lineRule="auto"/>
        <w:ind w:left="709" w:hanging="709"/>
        <w:jc w:val="both"/>
        <w:rPr>
          <w:color w:val="000000"/>
          <w:sz w:val="22"/>
          <w:szCs w:val="22"/>
        </w:rPr>
      </w:pPr>
      <w:r w:rsidRPr="00AA31AF">
        <w:rPr>
          <w:color w:val="000000"/>
          <w:sz w:val="22"/>
          <w:szCs w:val="22"/>
        </w:rPr>
        <w:t xml:space="preserve">Sabiq, Sayid. </w:t>
      </w:r>
      <w:r w:rsidRPr="00AA31AF">
        <w:rPr>
          <w:i/>
          <w:iCs/>
          <w:color w:val="000000"/>
          <w:sz w:val="22"/>
          <w:szCs w:val="22"/>
        </w:rPr>
        <w:t>Fikih Sunnah</w:t>
      </w:r>
      <w:r w:rsidRPr="00AA31AF">
        <w:rPr>
          <w:color w:val="000000"/>
          <w:sz w:val="22"/>
          <w:szCs w:val="22"/>
        </w:rPr>
        <w:t>, Beirut : Dar Al- Fikr, 1995.</w:t>
      </w:r>
    </w:p>
    <w:p w:rsidR="00AA31AF" w:rsidRDefault="00AA31AF" w:rsidP="00E811F0">
      <w:pPr>
        <w:autoSpaceDE w:val="0"/>
        <w:autoSpaceDN w:val="0"/>
        <w:adjustRightInd w:val="0"/>
        <w:spacing w:line="360" w:lineRule="auto"/>
        <w:ind w:left="709" w:hanging="709"/>
        <w:jc w:val="both"/>
        <w:rPr>
          <w:color w:val="000000"/>
          <w:sz w:val="22"/>
          <w:szCs w:val="22"/>
          <w:lang w:val="id-ID"/>
        </w:rPr>
      </w:pPr>
      <w:r w:rsidRPr="00AA31AF">
        <w:rPr>
          <w:color w:val="000000"/>
          <w:sz w:val="22"/>
          <w:szCs w:val="22"/>
        </w:rPr>
        <w:t xml:space="preserve">Thalib, Sayuti, </w:t>
      </w:r>
      <w:r w:rsidRPr="00AA31AF">
        <w:rPr>
          <w:i/>
          <w:iCs/>
          <w:color w:val="000000"/>
          <w:sz w:val="22"/>
          <w:szCs w:val="22"/>
        </w:rPr>
        <w:t xml:space="preserve">Hukum Kekeluargaan Indonesia, </w:t>
      </w:r>
      <w:r w:rsidRPr="00AA31AF">
        <w:rPr>
          <w:color w:val="000000"/>
          <w:sz w:val="22"/>
          <w:szCs w:val="22"/>
        </w:rPr>
        <w:t>Jakarta: UI press, 1974.</w:t>
      </w:r>
    </w:p>
    <w:p w:rsidR="00AA31AF" w:rsidRDefault="00AA31AF" w:rsidP="00E811F0">
      <w:pPr>
        <w:pStyle w:val="FootnoteText"/>
        <w:spacing w:line="360" w:lineRule="auto"/>
        <w:ind w:left="709" w:hanging="709"/>
        <w:jc w:val="both"/>
        <w:rPr>
          <w:rFonts w:ascii="Times New Roman" w:hAnsi="Times New Roman"/>
          <w:color w:val="000000"/>
          <w:sz w:val="22"/>
          <w:szCs w:val="22"/>
        </w:rPr>
      </w:pPr>
      <w:r w:rsidRPr="00AA31AF">
        <w:rPr>
          <w:rFonts w:ascii="Times New Roman" w:hAnsi="Times New Roman"/>
          <w:color w:val="000000"/>
          <w:sz w:val="22"/>
          <w:szCs w:val="22"/>
        </w:rPr>
        <w:t xml:space="preserve">Zakaria al- Anshari, </w:t>
      </w:r>
      <w:r w:rsidRPr="00AA31AF">
        <w:rPr>
          <w:rFonts w:ascii="Times New Roman" w:hAnsi="Times New Roman"/>
          <w:i/>
          <w:iCs/>
          <w:color w:val="000000"/>
          <w:sz w:val="22"/>
          <w:szCs w:val="22"/>
        </w:rPr>
        <w:t>Syarqawi ala al- Tahrir</w:t>
      </w:r>
      <w:r w:rsidRPr="00AA31AF">
        <w:rPr>
          <w:rFonts w:ascii="Times New Roman" w:hAnsi="Times New Roman"/>
          <w:color w:val="000000"/>
          <w:sz w:val="22"/>
          <w:szCs w:val="22"/>
        </w:rPr>
        <w:t>, juz II, Surabaya: al-Hidayah, 2003.</w:t>
      </w:r>
    </w:p>
    <w:p w:rsidR="00AA31AF" w:rsidRDefault="00AA31AF" w:rsidP="00E811F0">
      <w:pPr>
        <w:pStyle w:val="FootnoteText"/>
        <w:spacing w:line="360" w:lineRule="auto"/>
        <w:ind w:left="709" w:hanging="709"/>
        <w:jc w:val="both"/>
        <w:rPr>
          <w:rFonts w:ascii="Times New Roman" w:hAnsi="Times New Roman"/>
          <w:color w:val="000000"/>
          <w:sz w:val="22"/>
          <w:szCs w:val="22"/>
        </w:rPr>
      </w:pPr>
      <w:r w:rsidRPr="00AA31AF">
        <w:rPr>
          <w:rFonts w:ascii="Times New Roman" w:hAnsi="Times New Roman"/>
          <w:color w:val="000000"/>
          <w:sz w:val="22"/>
          <w:szCs w:val="22"/>
        </w:rPr>
        <w:t xml:space="preserve">Departemen Agama. </w:t>
      </w:r>
      <w:r w:rsidRPr="00AA31AF">
        <w:rPr>
          <w:rFonts w:ascii="Times New Roman" w:hAnsi="Times New Roman"/>
          <w:i/>
          <w:iCs/>
          <w:color w:val="000000"/>
          <w:sz w:val="22"/>
          <w:szCs w:val="22"/>
        </w:rPr>
        <w:t>Tafsir Al-Quran Terjemahan Bahasa Indonesia</w:t>
      </w:r>
      <w:r w:rsidRPr="00AA31AF">
        <w:rPr>
          <w:rFonts w:ascii="Times New Roman" w:hAnsi="Times New Roman"/>
          <w:color w:val="000000"/>
          <w:sz w:val="22"/>
          <w:szCs w:val="22"/>
        </w:rPr>
        <w:t>, Jakarta: PT. Hidakarya Agung, 2000.</w:t>
      </w:r>
    </w:p>
    <w:p w:rsidR="00AA31AF" w:rsidRPr="00AA31AF" w:rsidRDefault="00AA31AF" w:rsidP="00E811F0">
      <w:pPr>
        <w:pStyle w:val="FootnoteText"/>
        <w:spacing w:line="360" w:lineRule="auto"/>
        <w:ind w:left="709" w:hanging="709"/>
        <w:jc w:val="both"/>
        <w:rPr>
          <w:rFonts w:ascii="Times New Roman" w:hAnsi="Times New Roman"/>
          <w:bCs/>
          <w:color w:val="000000"/>
          <w:sz w:val="22"/>
          <w:szCs w:val="22"/>
        </w:rPr>
      </w:pPr>
      <w:r w:rsidRPr="00AA31AF">
        <w:rPr>
          <w:rFonts w:ascii="Times New Roman" w:hAnsi="Times New Roman"/>
          <w:bCs/>
          <w:color w:val="000000"/>
          <w:sz w:val="22"/>
          <w:szCs w:val="22"/>
        </w:rPr>
        <w:t>Departemen Pendidikan Nasional, kamus Besar Bahasa Indonesia, Jakarta: Balai Pustaka, 2007.</w:t>
      </w:r>
    </w:p>
    <w:p w:rsidR="00AA31AF" w:rsidRDefault="00AA31AF" w:rsidP="00E811F0">
      <w:pPr>
        <w:pStyle w:val="FootnoteText"/>
        <w:spacing w:line="360" w:lineRule="auto"/>
        <w:ind w:left="709" w:hanging="709"/>
        <w:jc w:val="both"/>
        <w:rPr>
          <w:rFonts w:ascii="Times New Roman" w:hAnsi="Times New Roman"/>
          <w:color w:val="000000"/>
          <w:sz w:val="22"/>
          <w:szCs w:val="22"/>
        </w:rPr>
      </w:pPr>
      <w:r w:rsidRPr="00AA31AF">
        <w:rPr>
          <w:rFonts w:ascii="Times New Roman" w:hAnsi="Times New Roman"/>
          <w:color w:val="000000"/>
          <w:sz w:val="22"/>
          <w:szCs w:val="22"/>
        </w:rPr>
        <w:t>Republik Indonesia, Undang Undang Nomor 1 Tahun 1974, Surabaya: Kesindo Utama, 2010.</w:t>
      </w:r>
    </w:p>
    <w:p w:rsidR="00AA31AF" w:rsidRPr="00AA31AF" w:rsidRDefault="00AA31AF" w:rsidP="00E811F0">
      <w:pPr>
        <w:spacing w:line="360" w:lineRule="auto"/>
        <w:ind w:left="709" w:hanging="709"/>
        <w:jc w:val="both"/>
        <w:rPr>
          <w:sz w:val="22"/>
          <w:szCs w:val="22"/>
          <w:lang w:val="id-ID"/>
        </w:rPr>
      </w:pPr>
      <w:r w:rsidRPr="00AA31AF">
        <w:rPr>
          <w:bCs/>
          <w:color w:val="000000"/>
          <w:sz w:val="22"/>
          <w:szCs w:val="22"/>
        </w:rPr>
        <w:t xml:space="preserve">Republik Indonesia, </w:t>
      </w:r>
      <w:r w:rsidRPr="00AA31AF">
        <w:rPr>
          <w:bCs/>
          <w:i/>
          <w:color w:val="000000"/>
          <w:sz w:val="22"/>
          <w:szCs w:val="22"/>
        </w:rPr>
        <w:t>Kompilasi Hukum Islam</w:t>
      </w:r>
      <w:r w:rsidRPr="00AA31AF">
        <w:rPr>
          <w:bCs/>
          <w:color w:val="000000"/>
          <w:sz w:val="22"/>
          <w:szCs w:val="22"/>
        </w:rPr>
        <w:t>, Surabaya: Kesindo Utama, 2010.</w:t>
      </w:r>
    </w:p>
    <w:sectPr w:rsidR="00AA31AF" w:rsidRPr="00AA31AF" w:rsidSect="00831CEF">
      <w:headerReference w:type="even" r:id="rId8"/>
      <w:headerReference w:type="default" r:id="rId9"/>
      <w:footerReference w:type="even" r:id="rId10"/>
      <w:footerReference w:type="default" r:id="rId11"/>
      <w:headerReference w:type="first" r:id="rId12"/>
      <w:footerReference w:type="first" r:id="rId13"/>
      <w:pgSz w:w="11906" w:h="16838" w:code="9"/>
      <w:pgMar w:top="2268" w:right="2268" w:bottom="1701" w:left="1701" w:header="709" w:footer="709" w:gutter="0"/>
      <w:pgNumType w:start="14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20F0" w:rsidRDefault="009F20F0" w:rsidP="00AA31AF">
      <w:r>
        <w:separator/>
      </w:r>
    </w:p>
  </w:endnote>
  <w:endnote w:type="continuationSeparator" w:id="1">
    <w:p w:rsidR="009F20F0" w:rsidRDefault="009F20F0" w:rsidP="00AA31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Eurostile">
    <w:altName w:val="Segoe Script"/>
    <w:charset w:val="00"/>
    <w:family w:val="swiss"/>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E0D" w:rsidRDefault="00E41E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99881"/>
      <w:docPartObj>
        <w:docPartGallery w:val="Page Numbers (Bottom of Page)"/>
        <w:docPartUnique/>
      </w:docPartObj>
    </w:sdtPr>
    <w:sdtEndPr>
      <w:rPr>
        <w:sz w:val="22"/>
        <w:szCs w:val="22"/>
      </w:rPr>
    </w:sdtEndPr>
    <w:sdtContent>
      <w:p w:rsidR="00E41E0D" w:rsidRDefault="00444805">
        <w:pPr>
          <w:pStyle w:val="Footer"/>
          <w:jc w:val="center"/>
        </w:pPr>
        <w:r w:rsidRPr="00E41E0D">
          <w:rPr>
            <w:sz w:val="22"/>
            <w:szCs w:val="22"/>
          </w:rPr>
          <w:fldChar w:fldCharType="begin"/>
        </w:r>
        <w:r w:rsidR="00E41E0D" w:rsidRPr="00E41E0D">
          <w:rPr>
            <w:sz w:val="22"/>
            <w:szCs w:val="22"/>
          </w:rPr>
          <w:instrText xml:space="preserve"> PAGE   \* MERGEFORMAT </w:instrText>
        </w:r>
        <w:r w:rsidRPr="00E41E0D">
          <w:rPr>
            <w:sz w:val="22"/>
            <w:szCs w:val="22"/>
          </w:rPr>
          <w:fldChar w:fldCharType="separate"/>
        </w:r>
        <w:r w:rsidR="00831CEF">
          <w:rPr>
            <w:noProof/>
            <w:sz w:val="22"/>
            <w:szCs w:val="22"/>
          </w:rPr>
          <w:t>159</w:t>
        </w:r>
        <w:r w:rsidRPr="00E41E0D">
          <w:rPr>
            <w:sz w:val="22"/>
            <w:szCs w:val="22"/>
          </w:rPr>
          <w:fldChar w:fldCharType="end"/>
        </w:r>
      </w:p>
    </w:sdtContent>
  </w:sdt>
  <w:p w:rsidR="00E41E0D" w:rsidRDefault="00E41E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E0D" w:rsidRDefault="00E41E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20F0" w:rsidRDefault="009F20F0" w:rsidP="00AA31AF">
      <w:r>
        <w:separator/>
      </w:r>
    </w:p>
  </w:footnote>
  <w:footnote w:type="continuationSeparator" w:id="1">
    <w:p w:rsidR="009F20F0" w:rsidRDefault="009F20F0" w:rsidP="00AA31AF">
      <w:r>
        <w:continuationSeparator/>
      </w:r>
    </w:p>
  </w:footnote>
  <w:footnote w:id="2">
    <w:p w:rsidR="00AA31AF" w:rsidRPr="00AA31AF" w:rsidRDefault="00AA31AF" w:rsidP="00AA31AF">
      <w:pPr>
        <w:pStyle w:val="FootnoteText"/>
        <w:ind w:left="0" w:firstLine="720"/>
        <w:jc w:val="both"/>
        <w:rPr>
          <w:rFonts w:ascii="Times New Roman" w:hAnsi="Times New Roman"/>
        </w:rPr>
      </w:pPr>
      <w:r w:rsidRPr="00AA31AF">
        <w:rPr>
          <w:rStyle w:val="FootnoteReference"/>
        </w:rPr>
        <w:footnoteRef/>
      </w:r>
      <w:r w:rsidRPr="00AA31AF">
        <w:rPr>
          <w:rFonts w:ascii="Times New Roman" w:hAnsi="Times New Roman"/>
        </w:rPr>
        <w:t xml:space="preserve">Imam al-Bukhari, </w:t>
      </w:r>
      <w:r w:rsidRPr="00AA31AF">
        <w:rPr>
          <w:rFonts w:ascii="Times New Roman" w:hAnsi="Times New Roman"/>
          <w:i/>
          <w:iCs/>
        </w:rPr>
        <w:t>Shahih Bukhari</w:t>
      </w:r>
      <w:r w:rsidRPr="00AA31AF">
        <w:rPr>
          <w:rFonts w:ascii="Times New Roman" w:hAnsi="Times New Roman"/>
        </w:rPr>
        <w:t>, Juz III (Beirut, Dar Kitab Ilmiah, 1992), h. 429.</w:t>
      </w:r>
    </w:p>
  </w:footnote>
  <w:footnote w:id="3">
    <w:p w:rsidR="00AA31AF" w:rsidRPr="00AA31AF" w:rsidRDefault="00AA31AF" w:rsidP="00AA31AF">
      <w:pPr>
        <w:pStyle w:val="FootnoteText"/>
        <w:ind w:left="0" w:firstLine="720"/>
        <w:jc w:val="both"/>
        <w:rPr>
          <w:rFonts w:ascii="Times New Roman" w:hAnsi="Times New Roman"/>
        </w:rPr>
      </w:pPr>
      <w:r w:rsidRPr="00AA31AF">
        <w:rPr>
          <w:rStyle w:val="FootnoteReference"/>
        </w:rPr>
        <w:footnoteRef/>
      </w:r>
      <w:r w:rsidRPr="00AA31AF">
        <w:rPr>
          <w:rFonts w:ascii="Times New Roman" w:hAnsi="Times New Roman"/>
        </w:rPr>
        <w:t xml:space="preserve">Atabik Ali, Muhammad Mudhor, </w:t>
      </w:r>
      <w:r w:rsidRPr="00AA31AF">
        <w:rPr>
          <w:rFonts w:ascii="Times New Roman" w:hAnsi="Times New Roman"/>
          <w:i/>
          <w:iCs/>
        </w:rPr>
        <w:t>Kamus Kontemporer Arab Indonesia</w:t>
      </w:r>
      <w:r w:rsidRPr="00AA31AF">
        <w:rPr>
          <w:rFonts w:ascii="Times New Roman" w:hAnsi="Times New Roman"/>
        </w:rPr>
        <w:t xml:space="preserve"> (Jogjakarta: Multi Karya Grafika Pondok Pesantren Krapyak, 1998), h. 1943.</w:t>
      </w:r>
    </w:p>
  </w:footnote>
  <w:footnote w:id="4">
    <w:p w:rsidR="00AA31AF" w:rsidRPr="00AA31AF" w:rsidRDefault="00AA31AF" w:rsidP="00AA31AF">
      <w:pPr>
        <w:pStyle w:val="FootnoteText"/>
        <w:ind w:left="0" w:firstLine="720"/>
        <w:jc w:val="both"/>
        <w:rPr>
          <w:rFonts w:ascii="Times New Roman" w:hAnsi="Times New Roman"/>
        </w:rPr>
      </w:pPr>
      <w:r w:rsidRPr="00AA31AF">
        <w:rPr>
          <w:rStyle w:val="FootnoteReference"/>
        </w:rPr>
        <w:footnoteRef/>
      </w:r>
      <w:r w:rsidRPr="00AA31AF">
        <w:rPr>
          <w:rFonts w:ascii="Times New Roman" w:hAnsi="Times New Roman"/>
        </w:rPr>
        <w:t>Abdurrahman al-Jaziri,</w:t>
      </w:r>
      <w:r w:rsidRPr="00AA31AF">
        <w:rPr>
          <w:rFonts w:ascii="Times New Roman" w:hAnsi="Times New Roman"/>
          <w:i/>
          <w:iCs/>
        </w:rPr>
        <w:t xml:space="preserve">al- Fiqh alaMazahibul Arba’ah, Juz </w:t>
      </w:r>
      <w:r w:rsidRPr="00AA31AF">
        <w:rPr>
          <w:rFonts w:ascii="Times New Roman" w:hAnsi="Times New Roman"/>
        </w:rPr>
        <w:t>IV (Darul Ihya Att.hurasul ‘Arabi, tt.h), h. 1.</w:t>
      </w:r>
    </w:p>
  </w:footnote>
  <w:footnote w:id="5">
    <w:p w:rsidR="00AA31AF" w:rsidRPr="00AA31AF" w:rsidRDefault="00AA31AF" w:rsidP="00AA31AF">
      <w:pPr>
        <w:pStyle w:val="FootnoteText"/>
        <w:ind w:left="0"/>
        <w:jc w:val="both"/>
        <w:rPr>
          <w:rFonts w:ascii="Times New Roman" w:hAnsi="Times New Roman"/>
        </w:rPr>
      </w:pPr>
      <w:r w:rsidRPr="00AA31AF">
        <w:rPr>
          <w:rFonts w:ascii="Times New Roman" w:hAnsi="Times New Roman"/>
        </w:rPr>
        <w:tab/>
      </w:r>
      <w:r w:rsidRPr="00AA31AF">
        <w:rPr>
          <w:rStyle w:val="FootnoteReference"/>
        </w:rPr>
        <w:footnoteRef/>
      </w:r>
      <w:r w:rsidRPr="00AA31AF">
        <w:rPr>
          <w:rFonts w:ascii="Times New Roman" w:hAnsi="Times New Roman"/>
        </w:rPr>
        <w:t xml:space="preserve"> Zakaria Al-Ansori, </w:t>
      </w:r>
      <w:r w:rsidRPr="00AA31AF">
        <w:rPr>
          <w:rFonts w:ascii="Times New Roman" w:hAnsi="Times New Roman"/>
          <w:i/>
          <w:iCs/>
        </w:rPr>
        <w:t>Syarqawi Ala At-Tahrir, Juz II</w:t>
      </w:r>
      <w:r w:rsidRPr="00AA31AF">
        <w:rPr>
          <w:rFonts w:ascii="Times New Roman" w:hAnsi="Times New Roman"/>
        </w:rPr>
        <w:t xml:space="preserve">, (Surabaya: Al-Hidayah, tt). h. 213 </w:t>
      </w:r>
    </w:p>
  </w:footnote>
  <w:footnote w:id="6">
    <w:p w:rsidR="00AA31AF" w:rsidRPr="00AA31AF" w:rsidRDefault="00AA31AF" w:rsidP="00AA31AF">
      <w:pPr>
        <w:pStyle w:val="FootnoteText"/>
        <w:ind w:left="0" w:firstLine="720"/>
        <w:jc w:val="both"/>
        <w:rPr>
          <w:rFonts w:ascii="Times New Roman" w:hAnsi="Times New Roman"/>
        </w:rPr>
      </w:pPr>
      <w:r w:rsidRPr="00AA31AF">
        <w:rPr>
          <w:rStyle w:val="FootnoteReference"/>
        </w:rPr>
        <w:footnoteRef/>
      </w:r>
      <w:r w:rsidRPr="00AA31AF">
        <w:rPr>
          <w:rFonts w:ascii="Times New Roman" w:hAnsi="Times New Roman"/>
        </w:rPr>
        <w:t xml:space="preserve">Sayid Muhammad Addimyati al-Misri, </w:t>
      </w:r>
      <w:r w:rsidRPr="00AA31AF">
        <w:rPr>
          <w:rFonts w:ascii="Times New Roman" w:hAnsi="Times New Roman"/>
          <w:i/>
          <w:iCs/>
        </w:rPr>
        <w:t>I’anatut Talibin, Juz III</w:t>
      </w:r>
      <w:r w:rsidRPr="00AA31AF">
        <w:rPr>
          <w:rFonts w:ascii="Times New Roman" w:hAnsi="Times New Roman"/>
        </w:rPr>
        <w:t xml:space="preserve"> (Bandung : Syarikat al-Ma’arif, tt.h), h. 354.</w:t>
      </w:r>
    </w:p>
  </w:footnote>
  <w:footnote w:id="7">
    <w:p w:rsidR="00AA31AF" w:rsidRPr="00AA31AF" w:rsidRDefault="00AA31AF" w:rsidP="00AA31AF">
      <w:pPr>
        <w:pStyle w:val="FootnoteText"/>
        <w:ind w:left="0" w:firstLine="720"/>
        <w:jc w:val="both"/>
        <w:rPr>
          <w:rFonts w:ascii="Times New Roman" w:hAnsi="Times New Roman"/>
        </w:rPr>
      </w:pPr>
      <w:r w:rsidRPr="00AA31AF">
        <w:rPr>
          <w:rStyle w:val="FootnoteReference"/>
        </w:rPr>
        <w:footnoteRef/>
      </w:r>
      <w:r w:rsidRPr="00AA31AF">
        <w:rPr>
          <w:rFonts w:ascii="Times New Roman" w:hAnsi="Times New Roman"/>
        </w:rPr>
        <w:t xml:space="preserve"> Abdurrahman al-Jaziri, h. 395.</w:t>
      </w:r>
    </w:p>
  </w:footnote>
  <w:footnote w:id="8">
    <w:p w:rsidR="00AA31AF" w:rsidRPr="00AA31AF" w:rsidRDefault="00AA31AF" w:rsidP="00AA31AF">
      <w:pPr>
        <w:pStyle w:val="FootnoteText"/>
        <w:ind w:left="0" w:firstLine="720"/>
        <w:jc w:val="both"/>
        <w:rPr>
          <w:rFonts w:ascii="Times New Roman" w:hAnsi="Times New Roman"/>
        </w:rPr>
      </w:pPr>
      <w:r w:rsidRPr="00AA31AF">
        <w:rPr>
          <w:rStyle w:val="FootnoteReference"/>
        </w:rPr>
        <w:footnoteRef/>
      </w:r>
      <w:r w:rsidRPr="00AA31AF">
        <w:rPr>
          <w:rFonts w:ascii="Times New Roman" w:hAnsi="Times New Roman"/>
        </w:rPr>
        <w:t xml:space="preserve"> Ibnu Qudamah, </w:t>
      </w:r>
      <w:r w:rsidRPr="00AA31AF">
        <w:rPr>
          <w:rFonts w:ascii="Times New Roman" w:hAnsi="Times New Roman"/>
          <w:i/>
          <w:iCs/>
        </w:rPr>
        <w:t xml:space="preserve">al-Mugni sarah al-Kabir, Juz VII </w:t>
      </w:r>
      <w:r w:rsidRPr="00AA31AF">
        <w:rPr>
          <w:rFonts w:ascii="Times New Roman" w:hAnsi="Times New Roman"/>
        </w:rPr>
        <w:t>(Darul Fikri, tt.h), h. 335.</w:t>
      </w:r>
    </w:p>
  </w:footnote>
  <w:footnote w:id="9">
    <w:p w:rsidR="00AA31AF" w:rsidRPr="00AA31AF" w:rsidRDefault="00AA31AF" w:rsidP="00AA31AF">
      <w:pPr>
        <w:pStyle w:val="FootnoteText"/>
        <w:ind w:left="0" w:firstLine="720"/>
        <w:jc w:val="both"/>
        <w:rPr>
          <w:rFonts w:ascii="Times New Roman" w:hAnsi="Times New Roman"/>
        </w:rPr>
      </w:pPr>
      <w:r w:rsidRPr="00AA31AF">
        <w:rPr>
          <w:rStyle w:val="FootnoteReference"/>
        </w:rPr>
        <w:footnoteRef/>
      </w:r>
      <w:r w:rsidRPr="00AA31AF">
        <w:rPr>
          <w:rFonts w:ascii="Times New Roman" w:hAnsi="Times New Roman"/>
        </w:rPr>
        <w:t xml:space="preserve"> Najmudin Amin al-Kurdi, </w:t>
      </w:r>
      <w:r w:rsidRPr="00AA31AF">
        <w:rPr>
          <w:rFonts w:ascii="Times New Roman" w:hAnsi="Times New Roman"/>
          <w:i/>
          <w:iCs/>
        </w:rPr>
        <w:t>Tanwir al-Qulb</w:t>
      </w:r>
      <w:r w:rsidRPr="00AA31AF">
        <w:rPr>
          <w:rFonts w:ascii="Times New Roman" w:hAnsi="Times New Roman"/>
        </w:rPr>
        <w:t xml:space="preserve"> (Beirut Libanon : Dar Al -Fikr, tt.h), h. 338.</w:t>
      </w:r>
    </w:p>
  </w:footnote>
  <w:footnote w:id="10">
    <w:p w:rsidR="00AA31AF" w:rsidRPr="00AA31AF" w:rsidRDefault="00AA31AF" w:rsidP="00AA31AF">
      <w:pPr>
        <w:autoSpaceDE w:val="0"/>
        <w:autoSpaceDN w:val="0"/>
        <w:adjustRightInd w:val="0"/>
        <w:ind w:firstLine="720"/>
        <w:jc w:val="both"/>
        <w:rPr>
          <w:i/>
          <w:iCs/>
          <w:sz w:val="20"/>
          <w:szCs w:val="20"/>
        </w:rPr>
      </w:pPr>
      <w:r w:rsidRPr="00AA31AF">
        <w:rPr>
          <w:rStyle w:val="FootnoteReference"/>
          <w:sz w:val="20"/>
          <w:szCs w:val="20"/>
        </w:rPr>
        <w:footnoteRef/>
      </w:r>
      <w:r w:rsidRPr="00AA31AF">
        <w:rPr>
          <w:sz w:val="20"/>
          <w:szCs w:val="20"/>
        </w:rPr>
        <w:t xml:space="preserve"> Taqiyudin, </w:t>
      </w:r>
      <w:r w:rsidRPr="00AA31AF">
        <w:rPr>
          <w:i/>
          <w:iCs/>
          <w:sz w:val="20"/>
          <w:szCs w:val="20"/>
        </w:rPr>
        <w:t xml:space="preserve">Kifayatul Akhyar, </w:t>
      </w:r>
      <w:r w:rsidRPr="00AA31AF">
        <w:rPr>
          <w:sz w:val="20"/>
          <w:szCs w:val="20"/>
        </w:rPr>
        <w:t>Juz 2 (Surabaya: Al -Hidayah, tt.h), h. 36.</w:t>
      </w:r>
    </w:p>
  </w:footnote>
  <w:footnote w:id="11">
    <w:p w:rsidR="00AA31AF" w:rsidRPr="00AA31AF" w:rsidRDefault="00AA31AF" w:rsidP="00AA31AF">
      <w:pPr>
        <w:pStyle w:val="FootnoteText"/>
        <w:ind w:left="0" w:firstLine="720"/>
        <w:jc w:val="both"/>
        <w:rPr>
          <w:rFonts w:ascii="Times New Roman" w:hAnsi="Times New Roman"/>
        </w:rPr>
      </w:pPr>
      <w:r w:rsidRPr="00AA31AF">
        <w:rPr>
          <w:rStyle w:val="FootnoteReference"/>
        </w:rPr>
        <w:footnoteRef/>
      </w:r>
      <w:r w:rsidRPr="00AA31AF">
        <w:rPr>
          <w:rFonts w:ascii="Times New Roman" w:hAnsi="Times New Roman"/>
        </w:rPr>
        <w:t xml:space="preserve">  Sayuti Thalib, </w:t>
      </w:r>
      <w:r w:rsidRPr="00AA31AF">
        <w:rPr>
          <w:rFonts w:ascii="Times New Roman" w:hAnsi="Times New Roman"/>
          <w:i/>
          <w:iCs/>
        </w:rPr>
        <w:t xml:space="preserve">Hukum Kekeluargaan Indonesia </w:t>
      </w:r>
      <w:r w:rsidRPr="00AA31AF">
        <w:rPr>
          <w:rFonts w:ascii="Times New Roman" w:hAnsi="Times New Roman"/>
          <w:iCs/>
        </w:rPr>
        <w:t>(</w:t>
      </w:r>
      <w:r w:rsidRPr="00AA31AF">
        <w:rPr>
          <w:rFonts w:ascii="Times New Roman" w:hAnsi="Times New Roman"/>
        </w:rPr>
        <w:t>Jakarta: UI press, 1974), h. 49.</w:t>
      </w:r>
    </w:p>
  </w:footnote>
  <w:footnote w:id="12">
    <w:p w:rsidR="00AA31AF" w:rsidRPr="00AA31AF" w:rsidRDefault="00AA31AF" w:rsidP="00AA31AF">
      <w:pPr>
        <w:pStyle w:val="FootnoteText"/>
        <w:ind w:left="0" w:firstLine="720"/>
        <w:jc w:val="both"/>
        <w:rPr>
          <w:rFonts w:ascii="Times New Roman" w:hAnsi="Times New Roman"/>
        </w:rPr>
      </w:pPr>
      <w:r w:rsidRPr="00AA31AF">
        <w:rPr>
          <w:rStyle w:val="FootnoteReference"/>
        </w:rPr>
        <w:footnoteRef/>
      </w:r>
      <w:r w:rsidRPr="00AA31AF">
        <w:rPr>
          <w:rFonts w:ascii="Times New Roman" w:hAnsi="Times New Roman"/>
        </w:rPr>
        <w:t xml:space="preserve"> Abdurrahman, </w:t>
      </w:r>
      <w:r w:rsidRPr="00AA31AF">
        <w:rPr>
          <w:rFonts w:ascii="Times New Roman" w:hAnsi="Times New Roman"/>
          <w:i/>
          <w:iCs/>
        </w:rPr>
        <w:t>KHI di Indonesia</w:t>
      </w:r>
      <w:r w:rsidRPr="00AA31AF">
        <w:rPr>
          <w:rFonts w:ascii="Times New Roman" w:hAnsi="Times New Roman"/>
        </w:rPr>
        <w:t xml:space="preserve"> (Jakarta: Akademia Pressindo, 1992), h. 114</w:t>
      </w:r>
    </w:p>
  </w:footnote>
  <w:footnote w:id="13">
    <w:p w:rsidR="00AA31AF" w:rsidRPr="00AA31AF" w:rsidRDefault="00AA31AF" w:rsidP="00AA31AF">
      <w:pPr>
        <w:pStyle w:val="FootnoteText"/>
        <w:ind w:left="0" w:firstLine="720"/>
        <w:jc w:val="both"/>
        <w:rPr>
          <w:rFonts w:ascii="Times New Roman" w:hAnsi="Times New Roman"/>
        </w:rPr>
      </w:pPr>
      <w:r w:rsidRPr="00AA31AF">
        <w:rPr>
          <w:rStyle w:val="FootnoteReference"/>
        </w:rPr>
        <w:footnoteRef/>
      </w:r>
      <w:r w:rsidRPr="00AA31AF">
        <w:rPr>
          <w:rFonts w:ascii="Times New Roman" w:hAnsi="Times New Roman"/>
        </w:rPr>
        <w:t xml:space="preserve"> UU Perkawinan (UU RI No I tahun 1974) beserta penjelasannya, h. 8</w:t>
      </w:r>
    </w:p>
  </w:footnote>
  <w:footnote w:id="14">
    <w:p w:rsidR="00AA31AF" w:rsidRPr="00AA31AF" w:rsidRDefault="00AA31AF" w:rsidP="00AA31AF">
      <w:pPr>
        <w:pStyle w:val="FootnoteText"/>
        <w:ind w:left="0" w:firstLine="720"/>
        <w:jc w:val="both"/>
        <w:rPr>
          <w:rFonts w:ascii="Times New Roman" w:hAnsi="Times New Roman"/>
        </w:rPr>
      </w:pPr>
      <w:r w:rsidRPr="00AA31AF">
        <w:rPr>
          <w:rStyle w:val="FootnoteReference"/>
        </w:rPr>
        <w:footnoteRef/>
      </w:r>
      <w:r w:rsidRPr="00AA31AF">
        <w:rPr>
          <w:rFonts w:ascii="Times New Roman" w:hAnsi="Times New Roman"/>
        </w:rPr>
        <w:t xml:space="preserve">Departemen Agama RI, </w:t>
      </w:r>
      <w:r w:rsidRPr="00AA31AF">
        <w:rPr>
          <w:rFonts w:ascii="Times New Roman" w:hAnsi="Times New Roman"/>
          <w:i/>
          <w:iCs/>
        </w:rPr>
        <w:t>Al-Qur'an dan Terjemahannya</w:t>
      </w:r>
      <w:r w:rsidRPr="00AA31AF">
        <w:rPr>
          <w:rFonts w:ascii="Times New Roman" w:hAnsi="Times New Roman"/>
        </w:rPr>
        <w:t xml:space="preserve"> (Surabaya: asy-Syifa, 1992), h. 549.</w:t>
      </w:r>
    </w:p>
  </w:footnote>
  <w:footnote w:id="15">
    <w:p w:rsidR="00AA31AF" w:rsidRPr="00AA31AF" w:rsidRDefault="00AA31AF" w:rsidP="00AA31AF">
      <w:pPr>
        <w:pStyle w:val="FootnoteText"/>
        <w:ind w:left="0" w:firstLine="720"/>
        <w:jc w:val="both"/>
        <w:rPr>
          <w:rFonts w:ascii="Times New Roman" w:hAnsi="Times New Roman"/>
        </w:rPr>
      </w:pPr>
      <w:r w:rsidRPr="00AA31AF">
        <w:rPr>
          <w:rStyle w:val="FootnoteReference"/>
        </w:rPr>
        <w:footnoteRef/>
      </w:r>
      <w:r w:rsidRPr="00AA31AF">
        <w:rPr>
          <w:rFonts w:ascii="Times New Roman" w:hAnsi="Times New Roman"/>
          <w:i/>
          <w:iCs/>
        </w:rPr>
        <w:t>Ibid.,</w:t>
      </w:r>
      <w:r w:rsidRPr="00AA31AF">
        <w:rPr>
          <w:rFonts w:ascii="Times New Roman" w:hAnsi="Times New Roman"/>
        </w:rPr>
        <w:t>h. 644.</w:t>
      </w:r>
    </w:p>
  </w:footnote>
  <w:footnote w:id="16">
    <w:p w:rsidR="00AA31AF" w:rsidRPr="00AA31AF" w:rsidRDefault="00AA31AF" w:rsidP="00AA31AF">
      <w:pPr>
        <w:pStyle w:val="FootnoteText"/>
        <w:ind w:left="0" w:firstLine="720"/>
        <w:jc w:val="both"/>
        <w:rPr>
          <w:rFonts w:ascii="Times New Roman" w:hAnsi="Times New Roman"/>
        </w:rPr>
      </w:pPr>
      <w:r w:rsidRPr="00AA31AF">
        <w:rPr>
          <w:rStyle w:val="FootnoteReference"/>
        </w:rPr>
        <w:footnoteRef/>
      </w:r>
      <w:r w:rsidRPr="00AA31AF">
        <w:rPr>
          <w:rFonts w:ascii="Times New Roman" w:hAnsi="Times New Roman"/>
        </w:rPr>
        <w:t xml:space="preserve">Imam al-Bukhari, </w:t>
      </w:r>
      <w:r w:rsidRPr="00AA31AF">
        <w:rPr>
          <w:rFonts w:ascii="Times New Roman" w:hAnsi="Times New Roman"/>
          <w:i/>
          <w:iCs/>
        </w:rPr>
        <w:t>Shahih Bukhari</w:t>
      </w:r>
      <w:r w:rsidRPr="00AA31AF">
        <w:rPr>
          <w:rFonts w:ascii="Times New Roman" w:hAnsi="Times New Roman"/>
        </w:rPr>
        <w:t>, Juz III (Beirut, Dar Kitab Ilmiah, 1992), h. 429.</w:t>
      </w:r>
    </w:p>
  </w:footnote>
  <w:footnote w:id="17">
    <w:p w:rsidR="00AA31AF" w:rsidRPr="00AA31AF" w:rsidRDefault="00AA31AF" w:rsidP="00AA31AF">
      <w:pPr>
        <w:pStyle w:val="FootnoteText"/>
        <w:ind w:left="0" w:firstLine="720"/>
        <w:jc w:val="both"/>
        <w:rPr>
          <w:rFonts w:ascii="Times New Roman" w:hAnsi="Times New Roman"/>
        </w:rPr>
      </w:pPr>
      <w:r w:rsidRPr="00AA31AF">
        <w:rPr>
          <w:rStyle w:val="FootnoteReference"/>
        </w:rPr>
        <w:footnoteRef/>
      </w:r>
      <w:r w:rsidRPr="00AA31AF">
        <w:rPr>
          <w:rFonts w:ascii="Times New Roman" w:hAnsi="Times New Roman"/>
          <w:i/>
          <w:iCs/>
        </w:rPr>
        <w:t>Ibid</w:t>
      </w:r>
      <w:r w:rsidRPr="00AA31AF">
        <w:rPr>
          <w:rFonts w:ascii="Times New Roman" w:hAnsi="Times New Roman"/>
        </w:rPr>
        <w:t>, h. 110.</w:t>
      </w:r>
    </w:p>
  </w:footnote>
  <w:footnote w:id="18">
    <w:p w:rsidR="00AA31AF" w:rsidRPr="00AA31AF" w:rsidRDefault="00AA31AF" w:rsidP="00AA31AF">
      <w:pPr>
        <w:pStyle w:val="FootnoteText"/>
        <w:ind w:left="0" w:firstLine="720"/>
        <w:jc w:val="both"/>
        <w:rPr>
          <w:rFonts w:ascii="Times New Roman" w:hAnsi="Times New Roman"/>
        </w:rPr>
      </w:pPr>
      <w:r w:rsidRPr="00AA31AF">
        <w:rPr>
          <w:rStyle w:val="FootnoteReference"/>
        </w:rPr>
        <w:footnoteRef/>
      </w:r>
      <w:r w:rsidRPr="00AA31AF">
        <w:rPr>
          <w:rFonts w:ascii="Times New Roman" w:hAnsi="Times New Roman"/>
        </w:rPr>
        <w:t xml:space="preserve"> Kamal Muchtar, </w:t>
      </w:r>
      <w:r w:rsidRPr="00AA31AF">
        <w:rPr>
          <w:rFonts w:ascii="Times New Roman" w:hAnsi="Times New Roman"/>
          <w:i/>
          <w:iCs/>
        </w:rPr>
        <w:t xml:space="preserve">Asas-asas Hukum Islam tentang Perkawinan </w:t>
      </w:r>
      <w:r w:rsidRPr="00AA31AF">
        <w:rPr>
          <w:rFonts w:ascii="Times New Roman" w:hAnsi="Times New Roman"/>
          <w:iCs/>
        </w:rPr>
        <w:t>(</w:t>
      </w:r>
      <w:r w:rsidRPr="00AA31AF">
        <w:rPr>
          <w:rFonts w:ascii="Times New Roman" w:hAnsi="Times New Roman"/>
        </w:rPr>
        <w:t>Jakarta: Bulan Bintang, 1993), h. 15.</w:t>
      </w:r>
    </w:p>
  </w:footnote>
  <w:footnote w:id="19">
    <w:p w:rsidR="00AA31AF" w:rsidRPr="00AA31AF" w:rsidRDefault="00AA31AF" w:rsidP="00AA31AF">
      <w:pPr>
        <w:pStyle w:val="FootnoteText"/>
        <w:ind w:left="0" w:firstLine="720"/>
        <w:jc w:val="both"/>
        <w:rPr>
          <w:rFonts w:ascii="Times New Roman" w:hAnsi="Times New Roman"/>
          <w:lang w:val="fr-FR"/>
        </w:rPr>
      </w:pPr>
      <w:r w:rsidRPr="00AA31AF">
        <w:rPr>
          <w:rStyle w:val="FootnoteReference"/>
        </w:rPr>
        <w:footnoteRef/>
      </w:r>
      <w:r w:rsidRPr="00AA31AF">
        <w:rPr>
          <w:rFonts w:ascii="Times New Roman" w:hAnsi="Times New Roman"/>
          <w:lang w:val="fr-FR"/>
        </w:rPr>
        <w:t xml:space="preserve">Ali Ansori, </w:t>
      </w:r>
      <w:r w:rsidRPr="00AA31AF">
        <w:rPr>
          <w:rFonts w:ascii="Times New Roman" w:hAnsi="Times New Roman"/>
          <w:i/>
          <w:iCs/>
          <w:lang w:val="fr-FR"/>
        </w:rPr>
        <w:t xml:space="preserve">Al-Mizan al Kubra, </w:t>
      </w:r>
      <w:r w:rsidRPr="00AA31AF">
        <w:rPr>
          <w:rFonts w:ascii="Times New Roman" w:hAnsi="Times New Roman"/>
          <w:lang w:val="fr-FR"/>
        </w:rPr>
        <w:t>Juz II (Semarang: Toha Putra, tt.h), h. 108.</w:t>
      </w:r>
    </w:p>
  </w:footnote>
  <w:footnote w:id="20">
    <w:p w:rsidR="00AA31AF" w:rsidRPr="00AA31AF" w:rsidRDefault="00AA31AF" w:rsidP="00AA31AF">
      <w:pPr>
        <w:pStyle w:val="FootnoteText"/>
        <w:ind w:left="0" w:firstLine="720"/>
        <w:jc w:val="both"/>
        <w:rPr>
          <w:rFonts w:ascii="Times New Roman" w:hAnsi="Times New Roman"/>
        </w:rPr>
      </w:pPr>
      <w:r w:rsidRPr="00AA31AF">
        <w:rPr>
          <w:rStyle w:val="FootnoteReference"/>
        </w:rPr>
        <w:footnoteRef/>
      </w:r>
      <w:r w:rsidRPr="00AA31AF">
        <w:rPr>
          <w:rFonts w:ascii="Times New Roman" w:hAnsi="Times New Roman"/>
        </w:rPr>
        <w:t xml:space="preserve"> Sayuti Thalib, </w:t>
      </w:r>
      <w:r w:rsidRPr="00AA31AF">
        <w:rPr>
          <w:rFonts w:ascii="Times New Roman" w:hAnsi="Times New Roman"/>
          <w:i/>
          <w:iCs/>
        </w:rPr>
        <w:t xml:space="preserve">Hukum Kekeluargaan Indonesia </w:t>
      </w:r>
      <w:r w:rsidRPr="00AA31AF">
        <w:rPr>
          <w:rFonts w:ascii="Times New Roman" w:hAnsi="Times New Roman"/>
          <w:iCs/>
        </w:rPr>
        <w:t>(</w:t>
      </w:r>
      <w:r w:rsidRPr="00AA31AF">
        <w:rPr>
          <w:rFonts w:ascii="Times New Roman" w:hAnsi="Times New Roman"/>
        </w:rPr>
        <w:t>Jakarta: UI press, 1974), h. 49.</w:t>
      </w:r>
    </w:p>
  </w:footnote>
  <w:footnote w:id="21">
    <w:p w:rsidR="00AA31AF" w:rsidRPr="00AA31AF" w:rsidRDefault="00AA31AF" w:rsidP="00AA31AF">
      <w:pPr>
        <w:pStyle w:val="FootnoteText"/>
        <w:ind w:left="0" w:firstLine="720"/>
        <w:jc w:val="both"/>
        <w:rPr>
          <w:rFonts w:ascii="Times New Roman" w:hAnsi="Times New Roman"/>
        </w:rPr>
      </w:pPr>
      <w:r w:rsidRPr="00AA31AF">
        <w:rPr>
          <w:rStyle w:val="FootnoteReference"/>
        </w:rPr>
        <w:footnoteRef/>
      </w:r>
      <w:r w:rsidRPr="00AA31AF">
        <w:rPr>
          <w:rFonts w:ascii="Times New Roman" w:hAnsi="Times New Roman"/>
        </w:rPr>
        <w:t xml:space="preserve">Dirjen Bimbaga Islam Departemen Agama RI, </w:t>
      </w:r>
      <w:r w:rsidRPr="00AA31AF">
        <w:rPr>
          <w:rFonts w:ascii="Times New Roman" w:hAnsi="Times New Roman"/>
          <w:i/>
          <w:iCs/>
        </w:rPr>
        <w:t xml:space="preserve">IlmuFiqh, Jilid 2 </w:t>
      </w:r>
      <w:r w:rsidRPr="00AA31AF">
        <w:rPr>
          <w:rFonts w:ascii="Times New Roman" w:hAnsi="Times New Roman"/>
          <w:iCs/>
        </w:rPr>
        <w:t>(</w:t>
      </w:r>
      <w:r w:rsidRPr="00AA31AF">
        <w:rPr>
          <w:rFonts w:ascii="Times New Roman" w:hAnsi="Times New Roman"/>
        </w:rPr>
        <w:t>Jakarta: Proyek Pembinaan Prasarana dan Sarana Perguruan Tinggi Agama 1995), h. 60-61.</w:t>
      </w:r>
    </w:p>
  </w:footnote>
  <w:footnote w:id="22">
    <w:p w:rsidR="00AA31AF" w:rsidRPr="00AA31AF" w:rsidRDefault="00AA31AF" w:rsidP="00AA31AF">
      <w:pPr>
        <w:pStyle w:val="FootnoteText"/>
        <w:ind w:left="0" w:firstLine="720"/>
        <w:jc w:val="both"/>
        <w:rPr>
          <w:rFonts w:ascii="Times New Roman" w:hAnsi="Times New Roman"/>
        </w:rPr>
      </w:pPr>
      <w:r w:rsidRPr="00AA31AF">
        <w:rPr>
          <w:rStyle w:val="FootnoteReference"/>
        </w:rPr>
        <w:footnoteRef/>
      </w:r>
      <w:r w:rsidRPr="00AA31AF">
        <w:rPr>
          <w:rFonts w:ascii="Times New Roman" w:hAnsi="Times New Roman"/>
        </w:rPr>
        <w:t xml:space="preserve">Sayuti Thalib, </w:t>
      </w:r>
      <w:r w:rsidRPr="00AA31AF">
        <w:rPr>
          <w:rFonts w:ascii="Times New Roman" w:hAnsi="Times New Roman"/>
          <w:i/>
          <w:iCs/>
        </w:rPr>
        <w:t>Hukum Kekeluargaan Indonesia</w:t>
      </w:r>
      <w:r w:rsidRPr="00AA31AF">
        <w:rPr>
          <w:rFonts w:ascii="Times New Roman" w:hAnsi="Times New Roman"/>
        </w:rPr>
        <w:t xml:space="preserve"> (Jakarta: UI press 1974), h. 49.</w:t>
      </w:r>
    </w:p>
  </w:footnote>
  <w:footnote w:id="23">
    <w:p w:rsidR="00AA31AF" w:rsidRPr="00AA31AF" w:rsidRDefault="00AA31AF" w:rsidP="00AA31AF">
      <w:pPr>
        <w:pStyle w:val="FootnoteText"/>
        <w:ind w:left="0" w:firstLine="720"/>
        <w:jc w:val="both"/>
        <w:rPr>
          <w:rFonts w:ascii="Times New Roman" w:hAnsi="Times New Roman"/>
        </w:rPr>
      </w:pPr>
      <w:r w:rsidRPr="00AA31AF">
        <w:rPr>
          <w:rStyle w:val="FootnoteReference"/>
        </w:rPr>
        <w:footnoteRef/>
      </w:r>
      <w:r w:rsidRPr="00AA31AF">
        <w:rPr>
          <w:rFonts w:ascii="Times New Roman" w:hAnsi="Times New Roman"/>
        </w:rPr>
        <w:t>Dirjen Bimbaga Islam Departemen Agama,</w:t>
      </w:r>
      <w:r w:rsidRPr="00AA31AF">
        <w:rPr>
          <w:rFonts w:ascii="Times New Roman" w:hAnsi="Times New Roman"/>
          <w:i/>
          <w:iCs/>
        </w:rPr>
        <w:t xml:space="preserve"> Ilmu Fiqh, Jilid 2</w:t>
      </w:r>
      <w:r w:rsidRPr="00AA31AF">
        <w:rPr>
          <w:rFonts w:ascii="Times New Roman" w:hAnsi="Times New Roman"/>
        </w:rPr>
        <w:t xml:space="preserve"> (Jakarta: Proyek Pembinaan Prasarana dan Sarana Perguruan Tinggi Agama, 1995), h. 62.</w:t>
      </w:r>
    </w:p>
  </w:footnote>
  <w:footnote w:id="24">
    <w:p w:rsidR="00AA31AF" w:rsidRPr="00AA31AF" w:rsidRDefault="00AA31AF" w:rsidP="00AA31AF">
      <w:pPr>
        <w:pStyle w:val="FootnoteText"/>
        <w:ind w:left="0" w:firstLine="720"/>
        <w:jc w:val="both"/>
        <w:rPr>
          <w:rFonts w:ascii="Times New Roman" w:hAnsi="Times New Roman"/>
        </w:rPr>
      </w:pPr>
      <w:r w:rsidRPr="00AA31AF">
        <w:rPr>
          <w:rStyle w:val="FootnoteReference"/>
        </w:rPr>
        <w:footnoteRef/>
      </w:r>
      <w:r w:rsidRPr="00AA31AF">
        <w:rPr>
          <w:rFonts w:ascii="Times New Roman" w:hAnsi="Times New Roman"/>
        </w:rPr>
        <w:t xml:space="preserve">Abd al-Muhaimin As'ad, </w:t>
      </w:r>
      <w:r w:rsidRPr="00AA31AF">
        <w:rPr>
          <w:rFonts w:ascii="Times New Roman" w:hAnsi="Times New Roman"/>
          <w:i/>
          <w:iCs/>
        </w:rPr>
        <w:t xml:space="preserve">Risalah Nikah Penuntun Perkawinan, </w:t>
      </w:r>
      <w:r w:rsidRPr="00AA31AF">
        <w:rPr>
          <w:rFonts w:ascii="Times New Roman" w:hAnsi="Times New Roman"/>
        </w:rPr>
        <w:t>cet. I (Surabaya : Bulan  Terang, cet. I, 1993), h. 33.</w:t>
      </w:r>
    </w:p>
  </w:footnote>
  <w:footnote w:id="25">
    <w:p w:rsidR="00AA31AF" w:rsidRPr="00AA31AF" w:rsidRDefault="00AA31AF" w:rsidP="00AA31AF">
      <w:pPr>
        <w:autoSpaceDE w:val="0"/>
        <w:autoSpaceDN w:val="0"/>
        <w:adjustRightInd w:val="0"/>
        <w:ind w:firstLine="720"/>
        <w:jc w:val="both"/>
        <w:rPr>
          <w:i/>
          <w:iCs/>
          <w:sz w:val="20"/>
          <w:szCs w:val="20"/>
        </w:rPr>
      </w:pPr>
      <w:r w:rsidRPr="00AA31AF">
        <w:rPr>
          <w:rStyle w:val="FootnoteReference"/>
          <w:sz w:val="20"/>
          <w:szCs w:val="20"/>
        </w:rPr>
        <w:footnoteRef/>
      </w:r>
      <w:r w:rsidRPr="00AA31AF">
        <w:rPr>
          <w:sz w:val="20"/>
          <w:szCs w:val="20"/>
        </w:rPr>
        <w:t xml:space="preserve">Kamil Muhammad Uwaidah, </w:t>
      </w:r>
      <w:r w:rsidRPr="00AA31AF">
        <w:rPr>
          <w:i/>
          <w:iCs/>
          <w:sz w:val="20"/>
          <w:szCs w:val="20"/>
        </w:rPr>
        <w:t>Fiqh Wanita</w:t>
      </w:r>
      <w:r w:rsidRPr="00AA31AF">
        <w:rPr>
          <w:sz w:val="20"/>
          <w:szCs w:val="20"/>
        </w:rPr>
        <w:t xml:space="preserve"> (Jakarta: Pustaka Al-Kautsar, 1998), h. </w:t>
      </w:r>
      <w:r w:rsidRPr="00AA31AF">
        <w:rPr>
          <w:i/>
          <w:sz w:val="20"/>
          <w:szCs w:val="20"/>
        </w:rPr>
        <w:t>405.</w:t>
      </w:r>
    </w:p>
  </w:footnote>
  <w:footnote w:id="26">
    <w:p w:rsidR="00AA31AF" w:rsidRPr="00AA31AF" w:rsidRDefault="00AA31AF" w:rsidP="00AA31AF">
      <w:pPr>
        <w:pStyle w:val="FootnoteText"/>
        <w:ind w:left="0" w:firstLine="720"/>
        <w:jc w:val="both"/>
        <w:rPr>
          <w:rFonts w:ascii="Times New Roman" w:hAnsi="Times New Roman"/>
        </w:rPr>
      </w:pPr>
      <w:r w:rsidRPr="00AA31AF">
        <w:rPr>
          <w:rStyle w:val="FootnoteReference"/>
        </w:rPr>
        <w:footnoteRef/>
      </w:r>
      <w:r w:rsidRPr="00AA31AF">
        <w:rPr>
          <w:rFonts w:ascii="Times New Roman" w:hAnsi="Times New Roman"/>
        </w:rPr>
        <w:t xml:space="preserve">Zainuddin bin Abdul Aziz al-Malibary, </w:t>
      </w:r>
      <w:r w:rsidRPr="00AA31AF">
        <w:rPr>
          <w:rFonts w:ascii="Times New Roman" w:hAnsi="Times New Roman"/>
          <w:i/>
          <w:iCs/>
        </w:rPr>
        <w:t>Fath al-Mu'in</w:t>
      </w:r>
      <w:r w:rsidRPr="00AA31AF">
        <w:rPr>
          <w:rFonts w:ascii="Times New Roman" w:hAnsi="Times New Roman"/>
        </w:rPr>
        <w:t xml:space="preserve"> (Surabaya: al -hidayah, tt.h), h. 99.</w:t>
      </w:r>
    </w:p>
  </w:footnote>
  <w:footnote w:id="27">
    <w:p w:rsidR="00AA31AF" w:rsidRPr="00AA31AF" w:rsidRDefault="00AA31AF" w:rsidP="00AA31AF">
      <w:pPr>
        <w:pStyle w:val="FootnoteText"/>
        <w:ind w:left="0" w:firstLine="720"/>
        <w:jc w:val="both"/>
        <w:rPr>
          <w:rFonts w:ascii="Times New Roman" w:hAnsi="Times New Roman"/>
        </w:rPr>
      </w:pPr>
      <w:r w:rsidRPr="00AA31AF">
        <w:rPr>
          <w:rStyle w:val="FootnoteReference"/>
        </w:rPr>
        <w:footnoteRef/>
      </w:r>
      <w:r w:rsidRPr="00AA31AF">
        <w:rPr>
          <w:rFonts w:ascii="Times New Roman" w:hAnsi="Times New Roman"/>
        </w:rPr>
        <w:t xml:space="preserve">Abd ar-Rahman al-Jaziri, </w:t>
      </w:r>
      <w:r w:rsidRPr="00AA31AF">
        <w:rPr>
          <w:rFonts w:ascii="Times New Roman" w:hAnsi="Times New Roman"/>
          <w:i/>
          <w:iCs/>
        </w:rPr>
        <w:t xml:space="preserve">Kitab al-Fiqh 'ala al-Madzahib al-Arba'ah, </w:t>
      </w:r>
      <w:r w:rsidRPr="00AA31AF">
        <w:rPr>
          <w:rFonts w:ascii="Times New Roman" w:hAnsi="Times New Roman"/>
        </w:rPr>
        <w:t>Juz 4 (Bairut Libanon : Dar Al -Fikr, tt.h), h. 16.</w:t>
      </w:r>
    </w:p>
  </w:footnote>
  <w:footnote w:id="28">
    <w:p w:rsidR="00AA31AF" w:rsidRPr="00AA31AF" w:rsidRDefault="00AA31AF" w:rsidP="00AA31AF">
      <w:pPr>
        <w:pStyle w:val="FootnoteText"/>
        <w:ind w:left="0" w:firstLine="720"/>
        <w:jc w:val="both"/>
        <w:rPr>
          <w:rFonts w:ascii="Times New Roman" w:hAnsi="Times New Roman"/>
        </w:rPr>
      </w:pPr>
      <w:r w:rsidRPr="00AA31AF">
        <w:rPr>
          <w:rStyle w:val="FootnoteReference"/>
        </w:rPr>
        <w:footnoteRef/>
      </w:r>
      <w:r w:rsidRPr="00AA31AF">
        <w:rPr>
          <w:rFonts w:ascii="Times New Roman" w:hAnsi="Times New Roman"/>
        </w:rPr>
        <w:t xml:space="preserve">Sayyid Sabiq, </w:t>
      </w:r>
      <w:r w:rsidRPr="00AA31AF">
        <w:rPr>
          <w:rFonts w:ascii="Times New Roman" w:hAnsi="Times New Roman"/>
          <w:i/>
          <w:iCs/>
        </w:rPr>
        <w:t xml:space="preserve">Fiqh Sunnah, </w:t>
      </w:r>
      <w:r w:rsidRPr="00AA31AF">
        <w:rPr>
          <w:rFonts w:ascii="Times New Roman" w:hAnsi="Times New Roman"/>
        </w:rPr>
        <w:t>Jilid 2 (Beirut Libanon Dar Al -Fikr, Jilid II, 1992), h. 48.</w:t>
      </w:r>
    </w:p>
  </w:footnote>
  <w:footnote w:id="29">
    <w:p w:rsidR="00AA31AF" w:rsidRPr="00AA31AF" w:rsidRDefault="00AA31AF" w:rsidP="00AA31AF">
      <w:pPr>
        <w:pStyle w:val="FootnoteText"/>
        <w:ind w:left="0" w:firstLine="720"/>
        <w:jc w:val="both"/>
        <w:rPr>
          <w:rFonts w:ascii="Times New Roman" w:hAnsi="Times New Roman"/>
          <w:b/>
        </w:rPr>
      </w:pPr>
      <w:r w:rsidRPr="00AA31AF">
        <w:rPr>
          <w:rStyle w:val="FootnoteReference"/>
        </w:rPr>
        <w:footnoteRef/>
      </w:r>
      <w:r w:rsidRPr="00AA31AF">
        <w:rPr>
          <w:rFonts w:ascii="Times New Roman" w:hAnsi="Times New Roman"/>
        </w:rPr>
        <w:t xml:space="preserve">Ahmad Rofiq, </w:t>
      </w:r>
      <w:r w:rsidRPr="00AA31AF">
        <w:rPr>
          <w:rFonts w:ascii="Times New Roman" w:hAnsi="Times New Roman"/>
          <w:i/>
          <w:iCs/>
        </w:rPr>
        <w:t xml:space="preserve">Hukum Islam di Indonesia </w:t>
      </w:r>
      <w:r w:rsidRPr="00AA31AF">
        <w:rPr>
          <w:rFonts w:ascii="Times New Roman" w:hAnsi="Times New Roman"/>
          <w:iCs/>
        </w:rPr>
        <w:t>(</w:t>
      </w:r>
      <w:r w:rsidRPr="00AA31AF">
        <w:rPr>
          <w:rFonts w:ascii="Times New Roman" w:hAnsi="Times New Roman"/>
        </w:rPr>
        <w:t>Jakarta: Raja Grafondo Persada, 1995), h.71.</w:t>
      </w:r>
    </w:p>
  </w:footnote>
  <w:footnote w:id="30">
    <w:p w:rsidR="00AA31AF" w:rsidRPr="00AA31AF" w:rsidRDefault="00AA31AF" w:rsidP="00AA31AF">
      <w:pPr>
        <w:pStyle w:val="FootnoteText"/>
        <w:ind w:left="0" w:firstLine="720"/>
        <w:jc w:val="both"/>
        <w:rPr>
          <w:rFonts w:ascii="Times New Roman" w:hAnsi="Times New Roman"/>
        </w:rPr>
      </w:pPr>
      <w:r w:rsidRPr="00AA31AF">
        <w:rPr>
          <w:rStyle w:val="FootnoteReference"/>
        </w:rPr>
        <w:footnoteRef/>
      </w:r>
      <w:r w:rsidRPr="00AA31AF">
        <w:rPr>
          <w:rFonts w:ascii="Times New Roman" w:hAnsi="Times New Roman"/>
          <w:i/>
          <w:iCs/>
        </w:rPr>
        <w:t>Ibid.,</w:t>
      </w:r>
      <w:r w:rsidRPr="00AA31AF">
        <w:rPr>
          <w:rFonts w:ascii="Times New Roman" w:hAnsi="Times New Roman"/>
        </w:rPr>
        <w:t>h. 71.</w:t>
      </w:r>
    </w:p>
  </w:footnote>
  <w:footnote w:id="31">
    <w:p w:rsidR="00AA31AF" w:rsidRPr="00AA31AF" w:rsidRDefault="00AA31AF" w:rsidP="00AA31AF">
      <w:pPr>
        <w:autoSpaceDE w:val="0"/>
        <w:autoSpaceDN w:val="0"/>
        <w:adjustRightInd w:val="0"/>
        <w:ind w:firstLine="720"/>
        <w:jc w:val="both"/>
        <w:rPr>
          <w:sz w:val="20"/>
          <w:szCs w:val="20"/>
        </w:rPr>
      </w:pPr>
      <w:r w:rsidRPr="00AA31AF">
        <w:rPr>
          <w:rStyle w:val="FootnoteReference"/>
          <w:sz w:val="20"/>
          <w:szCs w:val="20"/>
        </w:rPr>
        <w:footnoteRef/>
      </w:r>
      <w:r w:rsidRPr="00AA31AF">
        <w:rPr>
          <w:sz w:val="20"/>
          <w:szCs w:val="20"/>
        </w:rPr>
        <w:t xml:space="preserve"> Moh Anwar, </w:t>
      </w:r>
      <w:r w:rsidRPr="00AA31AF">
        <w:rPr>
          <w:i/>
          <w:iCs/>
          <w:sz w:val="20"/>
          <w:szCs w:val="20"/>
        </w:rPr>
        <w:t>Fiqh Islam Muamalah, Munakahat, Faraid, dan Jinayah…</w:t>
      </w:r>
      <w:r w:rsidRPr="00AA31AF">
        <w:rPr>
          <w:iCs/>
          <w:sz w:val="20"/>
          <w:szCs w:val="20"/>
        </w:rPr>
        <w:t>(</w:t>
      </w:r>
      <w:r w:rsidRPr="00AA31AF">
        <w:rPr>
          <w:sz w:val="20"/>
          <w:szCs w:val="20"/>
        </w:rPr>
        <w:t>Bandung: Al- Ma’arif, 1971), h. 126.</w:t>
      </w:r>
    </w:p>
  </w:footnote>
  <w:footnote w:id="32">
    <w:p w:rsidR="00AA31AF" w:rsidRPr="00AA31AF" w:rsidRDefault="00AA31AF" w:rsidP="00AA31AF">
      <w:pPr>
        <w:pStyle w:val="FootnoteText"/>
        <w:ind w:left="0" w:firstLine="720"/>
        <w:jc w:val="both"/>
        <w:rPr>
          <w:rFonts w:ascii="Times New Roman" w:hAnsi="Times New Roman"/>
        </w:rPr>
      </w:pPr>
      <w:r w:rsidRPr="00AA31AF">
        <w:rPr>
          <w:rStyle w:val="FootnoteReference"/>
        </w:rPr>
        <w:footnoteRef/>
      </w:r>
      <w:r w:rsidRPr="00AA31AF">
        <w:rPr>
          <w:rFonts w:ascii="Times New Roman" w:hAnsi="Times New Roman"/>
        </w:rPr>
        <w:t xml:space="preserve">Dirjen Bimbagan Islam Departemen Agama RI, </w:t>
      </w:r>
      <w:r w:rsidRPr="00AA31AF">
        <w:rPr>
          <w:rFonts w:ascii="Times New Roman" w:hAnsi="Times New Roman"/>
          <w:i/>
          <w:iCs/>
        </w:rPr>
        <w:t>Ilmu Fiqh, Jilid 2</w:t>
      </w:r>
      <w:r w:rsidRPr="00AA31AF">
        <w:rPr>
          <w:rFonts w:ascii="Times New Roman" w:hAnsi="Times New Roman"/>
        </w:rPr>
        <w:t xml:space="preserve"> (Jakarta: Proyek Pembinaan  Prasarana dan Sarana Perguruan Tinggi Agama, 1995), h. 109.</w:t>
      </w:r>
    </w:p>
  </w:footnote>
  <w:footnote w:id="33">
    <w:p w:rsidR="00AA31AF" w:rsidRPr="00AA31AF" w:rsidRDefault="00AA31AF" w:rsidP="00AA31AF">
      <w:pPr>
        <w:pStyle w:val="FootnoteText"/>
        <w:ind w:left="0" w:firstLine="720"/>
        <w:jc w:val="both"/>
        <w:rPr>
          <w:rFonts w:ascii="Times New Roman" w:hAnsi="Times New Roman"/>
        </w:rPr>
      </w:pPr>
      <w:r w:rsidRPr="00AA31AF">
        <w:rPr>
          <w:rStyle w:val="FootnoteReference"/>
        </w:rPr>
        <w:footnoteRef/>
      </w:r>
      <w:r w:rsidRPr="00AA31AF">
        <w:rPr>
          <w:rFonts w:ascii="Times New Roman" w:hAnsi="Times New Roman"/>
        </w:rPr>
        <w:t xml:space="preserve"> Zakaria al- Anshari, </w:t>
      </w:r>
      <w:r w:rsidRPr="00AA31AF">
        <w:rPr>
          <w:rFonts w:ascii="Times New Roman" w:hAnsi="Times New Roman"/>
          <w:i/>
          <w:iCs/>
        </w:rPr>
        <w:t>Syarqawi ala al- Tahrir</w:t>
      </w:r>
      <w:r w:rsidRPr="00AA31AF">
        <w:rPr>
          <w:rFonts w:ascii="Times New Roman" w:hAnsi="Times New Roman"/>
        </w:rPr>
        <w:t>, juz II, (Surabaya: al-Hidayah, tt), h. 214</w:t>
      </w:r>
    </w:p>
  </w:footnote>
  <w:footnote w:id="34">
    <w:p w:rsidR="00AA31AF" w:rsidRPr="00AA31AF" w:rsidRDefault="00AA31AF" w:rsidP="00AA31AF">
      <w:pPr>
        <w:pStyle w:val="FootnoteText"/>
        <w:ind w:left="0" w:firstLine="720"/>
        <w:jc w:val="both"/>
        <w:rPr>
          <w:rFonts w:ascii="Times New Roman" w:hAnsi="Times New Roman"/>
        </w:rPr>
      </w:pPr>
      <w:r w:rsidRPr="00AA31AF">
        <w:rPr>
          <w:rStyle w:val="FootnoteReference"/>
        </w:rPr>
        <w:footnoteRef/>
      </w:r>
      <w:r w:rsidRPr="00AA31AF">
        <w:rPr>
          <w:rFonts w:ascii="Times New Roman" w:hAnsi="Times New Roman"/>
        </w:rPr>
        <w:t xml:space="preserve"> Ibid. h. 215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E0D" w:rsidRDefault="00E41E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E0D" w:rsidRDefault="00E41E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E0D" w:rsidRDefault="00E41E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F7D11"/>
    <w:multiLevelType w:val="hybridMultilevel"/>
    <w:tmpl w:val="A816EF7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65B618F"/>
    <w:multiLevelType w:val="hybridMultilevel"/>
    <w:tmpl w:val="BDF852CC"/>
    <w:lvl w:ilvl="0" w:tplc="04090017">
      <w:start w:val="1"/>
      <w:numFmt w:val="lowerLetter"/>
      <w:lvlText w:val="%1)"/>
      <w:lvlJc w:val="left"/>
      <w:pPr>
        <w:ind w:left="1080" w:hanging="360"/>
      </w:pPr>
    </w:lvl>
    <w:lvl w:ilvl="1" w:tplc="D2886CAA">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CAD1590"/>
    <w:multiLevelType w:val="hybridMultilevel"/>
    <w:tmpl w:val="3AB0DA5C"/>
    <w:lvl w:ilvl="0" w:tplc="04090011">
      <w:start w:val="1"/>
      <w:numFmt w:val="decimal"/>
      <w:lvlText w:val="%1)"/>
      <w:lvlJc w:val="left"/>
      <w:pPr>
        <w:ind w:left="720" w:hanging="360"/>
      </w:pPr>
    </w:lvl>
    <w:lvl w:ilvl="1" w:tplc="68866C4A">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8A70C08"/>
    <w:multiLevelType w:val="hybridMultilevel"/>
    <w:tmpl w:val="8F60F066"/>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
    <w:nsid w:val="39970C8F"/>
    <w:multiLevelType w:val="hybridMultilevel"/>
    <w:tmpl w:val="BD9C89B0"/>
    <w:lvl w:ilvl="0" w:tplc="04090017">
      <w:start w:val="1"/>
      <w:numFmt w:val="lowerLetter"/>
      <w:lvlText w:val="%1)"/>
      <w:lvlJc w:val="left"/>
      <w:pPr>
        <w:ind w:left="1080" w:hanging="360"/>
      </w:pPr>
    </w:lvl>
    <w:lvl w:ilvl="1" w:tplc="CCDCA9F4">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9AD5D97"/>
    <w:multiLevelType w:val="hybridMultilevel"/>
    <w:tmpl w:val="6D082A5E"/>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6">
    <w:nsid w:val="49CC5E59"/>
    <w:multiLevelType w:val="hybridMultilevel"/>
    <w:tmpl w:val="A796C02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C8D7B58"/>
    <w:multiLevelType w:val="hybridMultilevel"/>
    <w:tmpl w:val="5A54CA5E"/>
    <w:lvl w:ilvl="0" w:tplc="140A08E2">
      <w:start w:val="1"/>
      <w:numFmt w:val="decimal"/>
      <w:lvlText w:val="%1."/>
      <w:lvlJc w:val="left"/>
      <w:pPr>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5804FB1"/>
    <w:multiLevelType w:val="hybridMultilevel"/>
    <w:tmpl w:val="99B05FFC"/>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nsid w:val="58B44D59"/>
    <w:multiLevelType w:val="hybridMultilevel"/>
    <w:tmpl w:val="330A87D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E467885"/>
    <w:multiLevelType w:val="hybridMultilevel"/>
    <w:tmpl w:val="B8F40776"/>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nsid w:val="67C24D5C"/>
    <w:multiLevelType w:val="hybridMultilevel"/>
    <w:tmpl w:val="E968FE58"/>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8"/>
  </w:num>
  <w:num w:numId="10">
    <w:abstractNumId w:val="6"/>
  </w:num>
  <w:num w:numId="11">
    <w:abstractNumId w:val="5"/>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FD3676"/>
    <w:rsid w:val="00045AF3"/>
    <w:rsid w:val="000E3AE2"/>
    <w:rsid w:val="0013527A"/>
    <w:rsid w:val="00265F99"/>
    <w:rsid w:val="00312E42"/>
    <w:rsid w:val="00315B52"/>
    <w:rsid w:val="003A7057"/>
    <w:rsid w:val="003C68B5"/>
    <w:rsid w:val="003F3637"/>
    <w:rsid w:val="00444805"/>
    <w:rsid w:val="004D0054"/>
    <w:rsid w:val="0050467E"/>
    <w:rsid w:val="005F0213"/>
    <w:rsid w:val="0061430D"/>
    <w:rsid w:val="00671B75"/>
    <w:rsid w:val="00707B48"/>
    <w:rsid w:val="007514D5"/>
    <w:rsid w:val="00763280"/>
    <w:rsid w:val="007C4A01"/>
    <w:rsid w:val="007C7648"/>
    <w:rsid w:val="00831CEF"/>
    <w:rsid w:val="008519F3"/>
    <w:rsid w:val="008D0336"/>
    <w:rsid w:val="009F20F0"/>
    <w:rsid w:val="00A25E80"/>
    <w:rsid w:val="00AA31AF"/>
    <w:rsid w:val="00B02CEF"/>
    <w:rsid w:val="00B86E15"/>
    <w:rsid w:val="00DD75C8"/>
    <w:rsid w:val="00DE1DCA"/>
    <w:rsid w:val="00E31CFC"/>
    <w:rsid w:val="00E41E0D"/>
    <w:rsid w:val="00E50CFD"/>
    <w:rsid w:val="00E74E5B"/>
    <w:rsid w:val="00E776ED"/>
    <w:rsid w:val="00E811F0"/>
    <w:rsid w:val="00ED56F8"/>
    <w:rsid w:val="00F1173C"/>
    <w:rsid w:val="00FC00E7"/>
    <w:rsid w:val="00FD3676"/>
    <w:rsid w:val="00FE1FD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7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AA31AF"/>
    <w:pPr>
      <w:keepNext/>
      <w:spacing w:before="240" w:after="60" w:line="480" w:lineRule="auto"/>
      <w:ind w:left="720"/>
      <w:outlineLvl w:val="0"/>
    </w:pPr>
    <w:rPr>
      <w:rFonts w:ascii="Cambria" w:hAnsi="Cambria"/>
      <w:b/>
      <w:bCs/>
      <w:kern w:val="32"/>
      <w:sz w:val="32"/>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1AF"/>
    <w:rPr>
      <w:rFonts w:ascii="Cambria" w:eastAsia="Times New Roman" w:hAnsi="Cambria" w:cs="Times New Roman"/>
      <w:b/>
      <w:bCs/>
      <w:kern w:val="32"/>
      <w:sz w:val="32"/>
      <w:szCs w:val="32"/>
    </w:rPr>
  </w:style>
  <w:style w:type="paragraph" w:styleId="ListParagraph">
    <w:name w:val="List Paragraph"/>
    <w:basedOn w:val="Normal"/>
    <w:uiPriority w:val="34"/>
    <w:qFormat/>
    <w:rsid w:val="00AA31AF"/>
    <w:pPr>
      <w:spacing w:after="200" w:line="480" w:lineRule="auto"/>
      <w:ind w:left="720"/>
      <w:contextualSpacing/>
    </w:pPr>
    <w:rPr>
      <w:rFonts w:ascii="Eurostile" w:hAnsi="Eurostile"/>
      <w:sz w:val="22"/>
      <w:szCs w:val="22"/>
      <w:lang w:val="id-ID"/>
    </w:rPr>
  </w:style>
  <w:style w:type="paragraph" w:styleId="BodyText2">
    <w:name w:val="Body Text 2"/>
    <w:basedOn w:val="Normal"/>
    <w:link w:val="BodyText2Char"/>
    <w:semiHidden/>
    <w:rsid w:val="00AA31AF"/>
    <w:pPr>
      <w:spacing w:before="120" w:after="120"/>
      <w:ind w:firstLine="567"/>
      <w:jc w:val="lowKashida"/>
    </w:pPr>
    <w:rPr>
      <w:rFonts w:cs="Traditional Arabic"/>
      <w:szCs w:val="28"/>
      <w:lang w:val="en-GB"/>
    </w:rPr>
  </w:style>
  <w:style w:type="character" w:customStyle="1" w:styleId="BodyText2Char">
    <w:name w:val="Body Text 2 Char"/>
    <w:basedOn w:val="DefaultParagraphFont"/>
    <w:link w:val="BodyText2"/>
    <w:semiHidden/>
    <w:rsid w:val="00AA31AF"/>
    <w:rPr>
      <w:rFonts w:ascii="Times New Roman" w:eastAsia="Times New Roman" w:hAnsi="Times New Roman" w:cs="Traditional Arabic"/>
      <w:sz w:val="24"/>
      <w:szCs w:val="28"/>
      <w:lang w:val="en-GB"/>
    </w:rPr>
  </w:style>
  <w:style w:type="paragraph" w:styleId="FootnoteText">
    <w:name w:val="footnote text"/>
    <w:basedOn w:val="Normal"/>
    <w:link w:val="FootnoteTextChar"/>
    <w:uiPriority w:val="99"/>
    <w:unhideWhenUsed/>
    <w:rsid w:val="00AA31AF"/>
    <w:pPr>
      <w:ind w:left="720"/>
    </w:pPr>
    <w:rPr>
      <w:rFonts w:ascii="Eurostile" w:hAnsi="Eurostile"/>
      <w:sz w:val="20"/>
      <w:szCs w:val="20"/>
      <w:lang w:val="id-ID"/>
    </w:rPr>
  </w:style>
  <w:style w:type="character" w:customStyle="1" w:styleId="FootnoteTextChar">
    <w:name w:val="Footnote Text Char"/>
    <w:basedOn w:val="DefaultParagraphFont"/>
    <w:link w:val="FootnoteText"/>
    <w:uiPriority w:val="99"/>
    <w:rsid w:val="00AA31AF"/>
    <w:rPr>
      <w:rFonts w:ascii="Eurostile" w:eastAsia="Times New Roman" w:hAnsi="Eurostile" w:cs="Times New Roman"/>
      <w:sz w:val="20"/>
      <w:szCs w:val="20"/>
    </w:rPr>
  </w:style>
  <w:style w:type="character" w:styleId="FootnoteReference">
    <w:name w:val="footnote reference"/>
    <w:basedOn w:val="DefaultParagraphFont"/>
    <w:uiPriority w:val="99"/>
    <w:semiHidden/>
    <w:unhideWhenUsed/>
    <w:rsid w:val="00AA31AF"/>
    <w:rPr>
      <w:rFonts w:ascii="Times New Roman" w:hAnsi="Times New Roman" w:cs="Times New Roman" w:hint="default"/>
      <w:vertAlign w:val="superscript"/>
    </w:rPr>
  </w:style>
  <w:style w:type="character" w:customStyle="1" w:styleId="hps">
    <w:name w:val="hps"/>
    <w:basedOn w:val="DefaultParagraphFont"/>
    <w:rsid w:val="00265F99"/>
  </w:style>
  <w:style w:type="paragraph" w:styleId="Header">
    <w:name w:val="header"/>
    <w:basedOn w:val="Normal"/>
    <w:link w:val="HeaderChar"/>
    <w:uiPriority w:val="99"/>
    <w:semiHidden/>
    <w:unhideWhenUsed/>
    <w:rsid w:val="00E41E0D"/>
    <w:pPr>
      <w:tabs>
        <w:tab w:val="center" w:pos="4513"/>
        <w:tab w:val="right" w:pos="9026"/>
      </w:tabs>
    </w:pPr>
  </w:style>
  <w:style w:type="character" w:customStyle="1" w:styleId="HeaderChar">
    <w:name w:val="Header Char"/>
    <w:basedOn w:val="DefaultParagraphFont"/>
    <w:link w:val="Header"/>
    <w:uiPriority w:val="99"/>
    <w:semiHidden/>
    <w:rsid w:val="00E41E0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41E0D"/>
    <w:pPr>
      <w:tabs>
        <w:tab w:val="center" w:pos="4513"/>
        <w:tab w:val="right" w:pos="9026"/>
      </w:tabs>
    </w:pPr>
  </w:style>
  <w:style w:type="character" w:customStyle="1" w:styleId="FooterChar">
    <w:name w:val="Footer Char"/>
    <w:basedOn w:val="DefaultParagraphFont"/>
    <w:link w:val="Footer"/>
    <w:uiPriority w:val="99"/>
    <w:rsid w:val="00E41E0D"/>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BD7A6-AEF2-4C59-BD2F-562573C20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2785</Words>
  <Characters>15876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Univa</dc:creator>
  <cp:lastModifiedBy>Univa</cp:lastModifiedBy>
  <cp:revision>17</cp:revision>
  <cp:lastPrinted>2015-10-03T07:59:00Z</cp:lastPrinted>
  <dcterms:created xsi:type="dcterms:W3CDTF">2015-08-28T02:52:00Z</dcterms:created>
  <dcterms:modified xsi:type="dcterms:W3CDTF">2015-10-03T09:04:00Z</dcterms:modified>
</cp:coreProperties>
</file>